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C9569" w14:textId="6FA21FB0" w:rsidR="00202C74" w:rsidRDefault="00202C74" w:rsidP="00202C74">
      <w:pPr>
        <w:rPr>
          <w:rFonts w:ascii="Arial" w:hAnsi="Arial"/>
          <w:sz w:val="24"/>
          <w:szCs w:val="24"/>
        </w:rPr>
      </w:pPr>
    </w:p>
    <w:p w14:paraId="39A68A30" w14:textId="77777777" w:rsidR="00053CD7" w:rsidRDefault="00053CD7" w:rsidP="00202C74">
      <w:pPr>
        <w:rPr>
          <w:rFonts w:ascii="Arial" w:hAnsi="Arial"/>
          <w:sz w:val="24"/>
          <w:szCs w:val="24"/>
        </w:rPr>
      </w:pPr>
    </w:p>
    <w:p w14:paraId="5616F040" w14:textId="77777777" w:rsidR="009C3DA3" w:rsidRDefault="009C3DA3" w:rsidP="009C3DA3">
      <w:pPr>
        <w:spacing w:after="0"/>
      </w:pPr>
    </w:p>
    <w:p w14:paraId="4DDADE13" w14:textId="77777777" w:rsidR="00053CD7" w:rsidRDefault="00053CD7" w:rsidP="00053CD7">
      <w:pPr>
        <w:pStyle w:val="Default"/>
        <w:jc w:val="right"/>
        <w:rPr>
          <w:color w:val="E57200"/>
          <w:sz w:val="48"/>
          <w:szCs w:val="48"/>
        </w:rPr>
      </w:pPr>
      <w:r>
        <w:rPr>
          <w:rFonts w:eastAsia="Arial"/>
          <w:noProof/>
          <w:color w:val="E47100"/>
          <w:sz w:val="48"/>
          <w:lang w:eastAsia="en-GB"/>
        </w:rPr>
        <w:drawing>
          <wp:inline distT="0" distB="0" distL="0" distR="0" wp14:anchorId="0C236CB5" wp14:editId="460E154C">
            <wp:extent cx="2914015" cy="1257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15" cy="1257300"/>
                    </a:xfrm>
                    <a:prstGeom prst="rect">
                      <a:avLst/>
                    </a:prstGeom>
                    <a:noFill/>
                  </pic:spPr>
                </pic:pic>
              </a:graphicData>
            </a:graphic>
          </wp:inline>
        </w:drawing>
      </w:r>
    </w:p>
    <w:p w14:paraId="60865A9D" w14:textId="77777777" w:rsidR="00053CD7" w:rsidRDefault="00053CD7" w:rsidP="00053CD7">
      <w:pPr>
        <w:widowControl w:val="0"/>
        <w:autoSpaceDE w:val="0"/>
        <w:autoSpaceDN w:val="0"/>
        <w:spacing w:before="84"/>
        <w:rPr>
          <w:rFonts w:eastAsia="Arial"/>
          <w:color w:val="E47100"/>
          <w:sz w:val="56"/>
          <w:szCs w:val="56"/>
          <w:lang w:val="en-US"/>
        </w:rPr>
      </w:pPr>
    </w:p>
    <w:p w14:paraId="1D4F1F77" w14:textId="77777777" w:rsidR="00053CD7" w:rsidRDefault="00053CD7" w:rsidP="00053CD7">
      <w:pPr>
        <w:widowControl w:val="0"/>
        <w:autoSpaceDE w:val="0"/>
        <w:autoSpaceDN w:val="0"/>
        <w:spacing w:before="84"/>
        <w:rPr>
          <w:rFonts w:eastAsia="Arial"/>
          <w:color w:val="E47100"/>
          <w:sz w:val="56"/>
          <w:szCs w:val="56"/>
          <w:lang w:val="en-US"/>
        </w:rPr>
      </w:pPr>
    </w:p>
    <w:p w14:paraId="7F76D751" w14:textId="77777777" w:rsidR="00053CD7" w:rsidRDefault="00053CD7" w:rsidP="00053CD7">
      <w:pPr>
        <w:widowControl w:val="0"/>
        <w:autoSpaceDE w:val="0"/>
        <w:autoSpaceDN w:val="0"/>
        <w:spacing w:before="84"/>
        <w:rPr>
          <w:rFonts w:eastAsia="Arial"/>
          <w:color w:val="E47100"/>
          <w:sz w:val="56"/>
          <w:szCs w:val="56"/>
          <w:lang w:val="en-US"/>
        </w:rPr>
      </w:pPr>
    </w:p>
    <w:p w14:paraId="0D2F3C62" w14:textId="77777777" w:rsidR="00053CD7" w:rsidRDefault="00053CD7" w:rsidP="00053CD7">
      <w:pPr>
        <w:widowControl w:val="0"/>
        <w:autoSpaceDE w:val="0"/>
        <w:autoSpaceDN w:val="0"/>
        <w:spacing w:before="84"/>
        <w:rPr>
          <w:rFonts w:eastAsia="Arial"/>
          <w:color w:val="E47100"/>
          <w:sz w:val="56"/>
          <w:szCs w:val="56"/>
          <w:lang w:val="en-US"/>
        </w:rPr>
      </w:pPr>
    </w:p>
    <w:p w14:paraId="682C3C1D" w14:textId="44236A68" w:rsidR="00053CD7" w:rsidRPr="00EB03E8" w:rsidRDefault="00053CD7" w:rsidP="00053CD7">
      <w:pPr>
        <w:widowControl w:val="0"/>
        <w:autoSpaceDE w:val="0"/>
        <w:autoSpaceDN w:val="0"/>
        <w:spacing w:before="84" w:after="0" w:line="240" w:lineRule="auto"/>
        <w:rPr>
          <w:rFonts w:ascii="Arial" w:eastAsia="Arial" w:hAnsi="Arial"/>
          <w:color w:val="E47100"/>
          <w:sz w:val="56"/>
          <w:szCs w:val="56"/>
          <w:lang w:val="en-US"/>
        </w:rPr>
      </w:pPr>
      <w:r w:rsidRPr="00EB03E8">
        <w:rPr>
          <w:rFonts w:ascii="Arial" w:eastAsia="Arial" w:hAnsi="Arial"/>
          <w:color w:val="E47100"/>
          <w:sz w:val="56"/>
          <w:szCs w:val="56"/>
          <w:lang w:val="en-US"/>
        </w:rPr>
        <w:t xml:space="preserve">Sense College Loughborough </w:t>
      </w:r>
    </w:p>
    <w:p w14:paraId="040B0D70" w14:textId="77777777" w:rsidR="00053CD7" w:rsidRDefault="00053CD7" w:rsidP="00053CD7">
      <w:pPr>
        <w:pStyle w:val="Default"/>
        <w:rPr>
          <w:color w:val="E57200"/>
          <w:sz w:val="48"/>
          <w:szCs w:val="48"/>
        </w:rPr>
      </w:pPr>
    </w:p>
    <w:p w14:paraId="370F408E" w14:textId="7AB549E6" w:rsidR="00053CD7" w:rsidRPr="00DE4ABA" w:rsidRDefault="00053CD7" w:rsidP="00053CD7">
      <w:pPr>
        <w:pStyle w:val="Default"/>
        <w:rPr>
          <w:color w:val="653279"/>
          <w:sz w:val="48"/>
          <w:szCs w:val="48"/>
        </w:rPr>
      </w:pPr>
      <w:r w:rsidRPr="00DE4ABA">
        <w:rPr>
          <w:color w:val="653279"/>
          <w:sz w:val="48"/>
          <w:szCs w:val="48"/>
        </w:rPr>
        <w:t>Careers Guidance Policy</w:t>
      </w:r>
      <w:r w:rsidR="00974452">
        <w:rPr>
          <w:color w:val="653279"/>
          <w:sz w:val="48"/>
          <w:szCs w:val="48"/>
        </w:rPr>
        <w:t xml:space="preserve"> </w:t>
      </w:r>
    </w:p>
    <w:p w14:paraId="5F2C4A45" w14:textId="77777777" w:rsidR="00053CD7" w:rsidRDefault="00053CD7" w:rsidP="00053CD7">
      <w:pPr>
        <w:rPr>
          <w:noProof/>
          <w:lang w:eastAsia="en-GB"/>
        </w:rPr>
      </w:pPr>
    </w:p>
    <w:p w14:paraId="412A2C3B" w14:textId="77777777" w:rsidR="00053CD7" w:rsidRPr="00682FE1" w:rsidRDefault="00053CD7" w:rsidP="00053CD7">
      <w:pPr>
        <w:pStyle w:val="Default"/>
        <w:rPr>
          <w:b/>
          <w:bCs/>
          <w:color w:val="E57200"/>
          <w:sz w:val="36"/>
          <w:szCs w:val="36"/>
        </w:rPr>
      </w:pPr>
      <w:r>
        <w:rPr>
          <w:b/>
          <w:bCs/>
          <w:color w:val="653279"/>
          <w:sz w:val="36"/>
          <w:szCs w:val="36"/>
        </w:rPr>
        <w:br w:type="column"/>
      </w:r>
      <w:r w:rsidRPr="00682FE1">
        <w:rPr>
          <w:b/>
          <w:bCs/>
          <w:color w:val="E57200"/>
          <w:sz w:val="36"/>
          <w:szCs w:val="36"/>
        </w:rPr>
        <w:lastRenderedPageBreak/>
        <w:t>Contents</w:t>
      </w:r>
    </w:p>
    <w:p w14:paraId="09EFB43F" w14:textId="42DA5423" w:rsidR="00053CD7" w:rsidRDefault="00053CD7" w:rsidP="00053CD7">
      <w:pPr>
        <w:pStyle w:val="Default"/>
        <w:rPr>
          <w:b/>
          <w:bCs/>
          <w:color w:val="653279"/>
          <w:sz w:val="36"/>
          <w:szCs w:val="36"/>
        </w:rPr>
      </w:pPr>
    </w:p>
    <w:p w14:paraId="1A242066" w14:textId="7A30908A"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Introduction</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 xml:space="preserve">page 3 </w:t>
      </w:r>
    </w:p>
    <w:p w14:paraId="76FBADB0" w14:textId="7F9433A9"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Scope and context</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3</w:t>
      </w:r>
    </w:p>
    <w:p w14:paraId="30432177" w14:textId="20F099D3"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Aims</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3</w:t>
      </w:r>
    </w:p>
    <w:p w14:paraId="1A6794B2" w14:textId="21BA018C"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Objectives</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3</w:t>
      </w:r>
    </w:p>
    <w:p w14:paraId="12C02890" w14:textId="63DD42BD"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Associated college documents</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4</w:t>
      </w:r>
    </w:p>
    <w:p w14:paraId="70E0E31E" w14:textId="68FBE3A0"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External partners supporting our careers guidance offer</w:t>
      </w:r>
      <w:r>
        <w:rPr>
          <w:rFonts w:ascii="Arial" w:eastAsia="Arial" w:hAnsi="Arial"/>
          <w:sz w:val="28"/>
          <w:szCs w:val="28"/>
          <w:lang w:val="en-US"/>
        </w:rPr>
        <w:tab/>
      </w:r>
      <w:r>
        <w:rPr>
          <w:rFonts w:ascii="Arial" w:eastAsia="Arial" w:hAnsi="Arial"/>
          <w:sz w:val="28"/>
          <w:szCs w:val="28"/>
          <w:lang w:val="en-US"/>
        </w:rPr>
        <w:tab/>
        <w:t xml:space="preserve">page 4 </w:t>
      </w:r>
    </w:p>
    <w:p w14:paraId="7E75E8AF" w14:textId="6DC331C6"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National documents influencing our careers guidance offer</w:t>
      </w:r>
      <w:r>
        <w:rPr>
          <w:rFonts w:ascii="Arial" w:eastAsia="Arial" w:hAnsi="Arial"/>
          <w:sz w:val="28"/>
          <w:szCs w:val="28"/>
          <w:lang w:val="en-US"/>
        </w:rPr>
        <w:tab/>
        <w:t>page 5</w:t>
      </w:r>
    </w:p>
    <w:p w14:paraId="0C6C8C45" w14:textId="48FCF959"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Monit</w:t>
      </w:r>
      <w:r w:rsidR="00974452">
        <w:rPr>
          <w:rFonts w:ascii="Arial" w:eastAsia="Arial" w:hAnsi="Arial"/>
          <w:sz w:val="28"/>
          <w:szCs w:val="28"/>
          <w:lang w:val="en-US"/>
        </w:rPr>
        <w:t xml:space="preserve">oring and quality assurance of our careers </w:t>
      </w:r>
      <w:r>
        <w:rPr>
          <w:rFonts w:ascii="Arial" w:eastAsia="Arial" w:hAnsi="Arial"/>
          <w:sz w:val="28"/>
          <w:szCs w:val="28"/>
          <w:lang w:val="en-US"/>
        </w:rPr>
        <w:t>provision</w:t>
      </w:r>
      <w:r>
        <w:rPr>
          <w:rFonts w:ascii="Arial" w:eastAsia="Arial" w:hAnsi="Arial"/>
          <w:sz w:val="28"/>
          <w:szCs w:val="28"/>
          <w:lang w:val="en-US"/>
        </w:rPr>
        <w:tab/>
      </w:r>
      <w:r>
        <w:rPr>
          <w:rFonts w:ascii="Arial" w:eastAsia="Arial" w:hAnsi="Arial"/>
          <w:sz w:val="28"/>
          <w:szCs w:val="28"/>
          <w:lang w:val="en-US"/>
        </w:rPr>
        <w:tab/>
        <w:t>page 5</w:t>
      </w:r>
    </w:p>
    <w:p w14:paraId="3B4DEEEF" w14:textId="459B5B7B"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Key staff involved in our careers guidance provision                    page 5</w:t>
      </w:r>
    </w:p>
    <w:p w14:paraId="37D425AF" w14:textId="2729AD2E"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Review procedure</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6</w:t>
      </w:r>
    </w:p>
    <w:p w14:paraId="60B682C3" w14:textId="77777777" w:rsidR="009E2930" w:rsidRDefault="009E2930" w:rsidP="009E2930">
      <w:pPr>
        <w:spacing w:line="360" w:lineRule="auto"/>
        <w:rPr>
          <w:rFonts w:ascii="Arial" w:eastAsia="Arial" w:hAnsi="Arial"/>
          <w:sz w:val="28"/>
          <w:szCs w:val="28"/>
          <w:lang w:val="en-US"/>
        </w:rPr>
      </w:pPr>
    </w:p>
    <w:p w14:paraId="54C36B06" w14:textId="63ED3AFA"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 xml:space="preserve">Appendix A: College Careers Offer </w:t>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r>
      <w:r>
        <w:rPr>
          <w:rFonts w:ascii="Arial" w:eastAsia="Arial" w:hAnsi="Arial"/>
          <w:sz w:val="28"/>
          <w:szCs w:val="28"/>
          <w:lang w:val="en-US"/>
        </w:rPr>
        <w:tab/>
        <w:t>page 7</w:t>
      </w:r>
    </w:p>
    <w:p w14:paraId="67EDAC81" w14:textId="77777777" w:rsidR="009E2930" w:rsidRDefault="009E2930" w:rsidP="009E2930">
      <w:pPr>
        <w:spacing w:line="360" w:lineRule="auto"/>
        <w:rPr>
          <w:rFonts w:ascii="Arial" w:eastAsia="Arial" w:hAnsi="Arial"/>
          <w:sz w:val="28"/>
          <w:szCs w:val="28"/>
          <w:lang w:val="en-US"/>
        </w:rPr>
      </w:pPr>
      <w:r>
        <w:rPr>
          <w:rFonts w:ascii="Arial" w:eastAsia="Arial" w:hAnsi="Arial"/>
          <w:sz w:val="28"/>
          <w:szCs w:val="28"/>
          <w:lang w:val="en-US"/>
        </w:rPr>
        <w:t xml:space="preserve">Appendix B: Gatsby benchmarks </w:t>
      </w:r>
    </w:p>
    <w:p w14:paraId="4CDA94FC" w14:textId="77777777" w:rsidR="006B14DE" w:rsidRDefault="006B14DE" w:rsidP="00053CD7">
      <w:pPr>
        <w:pStyle w:val="Default"/>
        <w:rPr>
          <w:b/>
          <w:bCs/>
          <w:color w:val="653279"/>
          <w:sz w:val="36"/>
          <w:szCs w:val="36"/>
        </w:rPr>
      </w:pPr>
    </w:p>
    <w:p w14:paraId="4D4CBE28" w14:textId="2A09413B" w:rsidR="00CD7AE1" w:rsidRPr="00DD7D2A" w:rsidRDefault="006B14DE" w:rsidP="009E2930">
      <w:pPr>
        <w:pStyle w:val="Default"/>
        <w:rPr>
          <w:b/>
          <w:bCs/>
          <w:color w:val="653279"/>
          <w:sz w:val="36"/>
          <w:szCs w:val="36"/>
        </w:rPr>
      </w:pPr>
      <w:r>
        <w:rPr>
          <w:b/>
          <w:bCs/>
          <w:color w:val="653279"/>
          <w:sz w:val="36"/>
          <w:szCs w:val="36"/>
        </w:rPr>
        <w:br w:type="column"/>
      </w:r>
      <w:r w:rsidR="00CD7AE1" w:rsidRPr="00DD7D2A">
        <w:rPr>
          <w:b/>
          <w:bCs/>
          <w:color w:val="653279"/>
          <w:sz w:val="36"/>
          <w:szCs w:val="36"/>
        </w:rPr>
        <w:lastRenderedPageBreak/>
        <w:t>Introduction</w:t>
      </w:r>
    </w:p>
    <w:p w14:paraId="1F855404" w14:textId="77777777" w:rsidR="009E2930" w:rsidRDefault="009E2930" w:rsidP="00CD7AE1">
      <w:pPr>
        <w:rPr>
          <w:rFonts w:asciiTheme="majorHAnsi" w:hAnsiTheme="majorHAnsi" w:cstheme="majorHAnsi"/>
          <w:sz w:val="24"/>
          <w:szCs w:val="24"/>
        </w:rPr>
      </w:pPr>
    </w:p>
    <w:p w14:paraId="4441A8E6" w14:textId="61DE12D5" w:rsidR="00CD7AE1" w:rsidRPr="00FB5E5B" w:rsidRDefault="00CD7AE1" w:rsidP="00CD7AE1">
      <w:pPr>
        <w:rPr>
          <w:rFonts w:asciiTheme="majorHAnsi" w:hAnsiTheme="majorHAnsi" w:cstheme="majorHAnsi"/>
          <w:sz w:val="24"/>
          <w:szCs w:val="24"/>
        </w:rPr>
      </w:pPr>
      <w:r>
        <w:rPr>
          <w:rFonts w:asciiTheme="majorHAnsi" w:hAnsiTheme="majorHAnsi" w:cstheme="majorHAnsi"/>
          <w:sz w:val="24"/>
          <w:szCs w:val="24"/>
        </w:rPr>
        <w:t xml:space="preserve">The purpose of this policy is to ensure that every student has relevant access to high quality careers guidance, allowing them to make informed decisions about their future.  </w:t>
      </w:r>
    </w:p>
    <w:p w14:paraId="1A097D77" w14:textId="5480FC57" w:rsidR="000A4037" w:rsidRDefault="00CD7AE1" w:rsidP="00053CD7">
      <w:pPr>
        <w:spacing w:line="300" w:lineRule="auto"/>
        <w:rPr>
          <w:rFonts w:asciiTheme="minorHAnsi" w:hAnsiTheme="minorHAnsi" w:cstheme="minorHAnsi"/>
          <w:sz w:val="24"/>
          <w:szCs w:val="24"/>
        </w:rPr>
      </w:pPr>
      <w:r>
        <w:rPr>
          <w:rFonts w:asciiTheme="minorHAnsi" w:hAnsiTheme="minorHAnsi" w:cstheme="minorHAnsi"/>
          <w:sz w:val="24"/>
          <w:szCs w:val="24"/>
        </w:rPr>
        <w:t xml:space="preserve">At Sense College Loughborough we think about Careers </w:t>
      </w:r>
      <w:r w:rsidR="00974452">
        <w:rPr>
          <w:rFonts w:asciiTheme="minorHAnsi" w:hAnsiTheme="minorHAnsi" w:cstheme="minorHAnsi"/>
          <w:sz w:val="24"/>
          <w:szCs w:val="24"/>
        </w:rPr>
        <w:t xml:space="preserve">Guidance </w:t>
      </w:r>
      <w:bookmarkStart w:id="0" w:name="_GoBack"/>
      <w:bookmarkEnd w:id="0"/>
      <w:r w:rsidRPr="00C35F61">
        <w:rPr>
          <w:rFonts w:asciiTheme="minorHAnsi" w:hAnsiTheme="minorHAnsi" w:cstheme="minorHAnsi"/>
          <w:sz w:val="24"/>
          <w:szCs w:val="24"/>
        </w:rPr>
        <w:t>in its widest sense.</w:t>
      </w:r>
      <w:r>
        <w:rPr>
          <w:rFonts w:asciiTheme="minorHAnsi" w:hAnsiTheme="minorHAnsi" w:cstheme="minorHAnsi"/>
          <w:sz w:val="24"/>
          <w:szCs w:val="24"/>
        </w:rPr>
        <w:t xml:space="preserve">  It is all about activity which supports our students when they leave college. </w:t>
      </w:r>
    </w:p>
    <w:p w14:paraId="72EC1402" w14:textId="76E7147A" w:rsidR="00CD7AE1" w:rsidRPr="00EA7192" w:rsidRDefault="00CD7AE1" w:rsidP="00053CD7">
      <w:pPr>
        <w:spacing w:line="300" w:lineRule="auto"/>
        <w:rPr>
          <w:rFonts w:asciiTheme="minorHAnsi" w:hAnsiTheme="minorHAnsi" w:cstheme="minorHAnsi"/>
          <w:sz w:val="24"/>
          <w:szCs w:val="24"/>
        </w:rPr>
      </w:pPr>
      <w:r>
        <w:rPr>
          <w:rFonts w:asciiTheme="minorHAnsi" w:hAnsiTheme="minorHAnsi" w:cstheme="minorHAnsi"/>
          <w:sz w:val="24"/>
          <w:szCs w:val="24"/>
        </w:rPr>
        <w:t xml:space="preserve">In this policy we will refer to </w:t>
      </w:r>
      <w:r w:rsidRPr="00EA7192">
        <w:rPr>
          <w:rFonts w:asciiTheme="minorHAnsi" w:hAnsiTheme="minorHAnsi" w:cstheme="minorHAnsi"/>
          <w:sz w:val="24"/>
          <w:szCs w:val="24"/>
        </w:rPr>
        <w:t xml:space="preserve">Careers Guidance as the full range of activity delivered under the eight Gatsby Benchmarks. We work towards meeting the Gatsby Benchmarks (Appendix B) as this helps us to ensure we are covering all areas of good careers guidance. </w:t>
      </w:r>
    </w:p>
    <w:p w14:paraId="0551C234" w14:textId="4353CC25" w:rsidR="009E2930" w:rsidRDefault="00413E8C" w:rsidP="009E2930">
      <w:pPr>
        <w:spacing w:line="300" w:lineRule="auto"/>
        <w:rPr>
          <w:rFonts w:asciiTheme="minorHAnsi" w:hAnsiTheme="minorHAnsi" w:cstheme="minorHAnsi"/>
          <w:sz w:val="24"/>
          <w:szCs w:val="24"/>
        </w:rPr>
      </w:pPr>
      <w:r w:rsidRPr="00C35F61">
        <w:rPr>
          <w:rFonts w:asciiTheme="minorHAnsi" w:hAnsiTheme="minorHAnsi" w:cstheme="minorHAnsi"/>
          <w:sz w:val="24"/>
          <w:szCs w:val="24"/>
        </w:rPr>
        <w:t>We have a careers offer diagram</w:t>
      </w:r>
      <w:r w:rsidR="00FB5E5B">
        <w:rPr>
          <w:rFonts w:asciiTheme="minorHAnsi" w:hAnsiTheme="minorHAnsi" w:cstheme="minorHAnsi"/>
          <w:sz w:val="24"/>
          <w:szCs w:val="24"/>
        </w:rPr>
        <w:t xml:space="preserve"> (Appendix A)</w:t>
      </w:r>
      <w:r w:rsidRPr="00C35F61">
        <w:rPr>
          <w:rFonts w:asciiTheme="minorHAnsi" w:hAnsiTheme="minorHAnsi" w:cstheme="minorHAnsi"/>
          <w:sz w:val="24"/>
          <w:szCs w:val="24"/>
        </w:rPr>
        <w:t xml:space="preserve"> which shows the different </w:t>
      </w:r>
      <w:r w:rsidR="00617DDA">
        <w:rPr>
          <w:rFonts w:asciiTheme="minorHAnsi" w:hAnsiTheme="minorHAnsi" w:cstheme="minorHAnsi"/>
          <w:sz w:val="24"/>
          <w:szCs w:val="24"/>
        </w:rPr>
        <w:t xml:space="preserve">elements that make up </w:t>
      </w:r>
      <w:r w:rsidRPr="00C35F61">
        <w:rPr>
          <w:rFonts w:asciiTheme="minorHAnsi" w:hAnsiTheme="minorHAnsi" w:cstheme="minorHAnsi"/>
          <w:sz w:val="24"/>
          <w:szCs w:val="24"/>
        </w:rPr>
        <w:t>our careers</w:t>
      </w:r>
      <w:r w:rsidR="00CD7AE1">
        <w:rPr>
          <w:rFonts w:asciiTheme="minorHAnsi" w:hAnsiTheme="minorHAnsi" w:cstheme="minorHAnsi"/>
          <w:sz w:val="24"/>
          <w:szCs w:val="24"/>
        </w:rPr>
        <w:t xml:space="preserve"> guidance programme</w:t>
      </w:r>
      <w:r w:rsidRPr="00C35F61">
        <w:rPr>
          <w:rFonts w:asciiTheme="minorHAnsi" w:hAnsiTheme="minorHAnsi" w:cstheme="minorHAnsi"/>
          <w:sz w:val="24"/>
          <w:szCs w:val="24"/>
        </w:rPr>
        <w:t xml:space="preserve">.  </w:t>
      </w:r>
    </w:p>
    <w:p w14:paraId="00CB711A" w14:textId="77777777" w:rsidR="00C03B96" w:rsidRPr="009E2930" w:rsidRDefault="00C03B96" w:rsidP="009E2930">
      <w:pPr>
        <w:spacing w:line="300" w:lineRule="auto"/>
        <w:rPr>
          <w:rFonts w:asciiTheme="minorHAnsi" w:hAnsiTheme="minorHAnsi" w:cstheme="minorHAnsi"/>
          <w:sz w:val="24"/>
          <w:szCs w:val="24"/>
        </w:rPr>
      </w:pPr>
    </w:p>
    <w:p w14:paraId="04265B24" w14:textId="33B0AEDC" w:rsidR="009A3908" w:rsidRDefault="00CD7AE1" w:rsidP="00053CD7">
      <w:pPr>
        <w:pStyle w:val="Default"/>
        <w:rPr>
          <w:b/>
          <w:bCs/>
          <w:color w:val="653279"/>
          <w:sz w:val="36"/>
          <w:szCs w:val="36"/>
        </w:rPr>
      </w:pPr>
      <w:r>
        <w:rPr>
          <w:b/>
          <w:bCs/>
          <w:color w:val="653279"/>
          <w:sz w:val="36"/>
          <w:szCs w:val="36"/>
        </w:rPr>
        <w:t>S</w:t>
      </w:r>
      <w:r w:rsidR="009A3908">
        <w:rPr>
          <w:b/>
          <w:bCs/>
          <w:color w:val="653279"/>
          <w:sz w:val="36"/>
          <w:szCs w:val="36"/>
        </w:rPr>
        <w:t xml:space="preserve">cope and context </w:t>
      </w:r>
    </w:p>
    <w:p w14:paraId="111D5FC7" w14:textId="56606980" w:rsidR="009A3908" w:rsidRDefault="009A3908" w:rsidP="00053CD7">
      <w:pPr>
        <w:pStyle w:val="Default"/>
        <w:rPr>
          <w:b/>
          <w:bCs/>
          <w:color w:val="653279"/>
          <w:sz w:val="36"/>
          <w:szCs w:val="36"/>
        </w:rPr>
      </w:pPr>
    </w:p>
    <w:p w14:paraId="4BBC39A0" w14:textId="764E7424" w:rsidR="00E5296A" w:rsidRPr="00D611E8" w:rsidRDefault="00E5296A" w:rsidP="00D611E8">
      <w:pPr>
        <w:spacing w:line="276" w:lineRule="auto"/>
        <w:rPr>
          <w:rFonts w:asciiTheme="minorHAnsi" w:hAnsiTheme="minorHAnsi" w:cstheme="minorHAnsi"/>
          <w:sz w:val="24"/>
          <w:szCs w:val="24"/>
        </w:rPr>
      </w:pPr>
      <w:r w:rsidRPr="00D611E8">
        <w:rPr>
          <w:rFonts w:asciiTheme="minorHAnsi" w:hAnsiTheme="minorHAnsi" w:cstheme="minorHAnsi"/>
          <w:sz w:val="24"/>
          <w:szCs w:val="24"/>
        </w:rPr>
        <w:t>This policy</w:t>
      </w:r>
      <w:r w:rsidR="0070442A" w:rsidRPr="00D611E8">
        <w:rPr>
          <w:rFonts w:asciiTheme="minorHAnsi" w:hAnsiTheme="minorHAnsi" w:cstheme="minorHAnsi"/>
          <w:sz w:val="24"/>
          <w:szCs w:val="24"/>
        </w:rPr>
        <w:t xml:space="preserve"> and our careers offer</w:t>
      </w:r>
      <w:r w:rsidRPr="00D611E8">
        <w:rPr>
          <w:rFonts w:asciiTheme="minorHAnsi" w:hAnsiTheme="minorHAnsi" w:cstheme="minorHAnsi"/>
          <w:sz w:val="24"/>
          <w:szCs w:val="24"/>
        </w:rPr>
        <w:t xml:space="preserve"> has been reviewed in line with </w:t>
      </w:r>
      <w:r w:rsidR="0070442A" w:rsidRPr="00D611E8">
        <w:rPr>
          <w:rFonts w:asciiTheme="minorHAnsi" w:hAnsiTheme="minorHAnsi" w:cstheme="minorHAnsi"/>
          <w:sz w:val="24"/>
          <w:szCs w:val="24"/>
        </w:rPr>
        <w:t>D</w:t>
      </w:r>
      <w:r w:rsidR="00612B0B">
        <w:rPr>
          <w:rFonts w:asciiTheme="minorHAnsi" w:hAnsiTheme="minorHAnsi" w:cstheme="minorHAnsi"/>
          <w:sz w:val="24"/>
          <w:szCs w:val="24"/>
        </w:rPr>
        <w:t xml:space="preserve">epartment of </w:t>
      </w:r>
      <w:r w:rsidR="0070442A" w:rsidRPr="00D611E8">
        <w:rPr>
          <w:rFonts w:asciiTheme="minorHAnsi" w:hAnsiTheme="minorHAnsi" w:cstheme="minorHAnsi"/>
          <w:sz w:val="24"/>
          <w:szCs w:val="24"/>
        </w:rPr>
        <w:t>E</w:t>
      </w:r>
      <w:r w:rsidR="00612B0B">
        <w:rPr>
          <w:rFonts w:asciiTheme="minorHAnsi" w:hAnsiTheme="minorHAnsi" w:cstheme="minorHAnsi"/>
          <w:sz w:val="24"/>
          <w:szCs w:val="24"/>
        </w:rPr>
        <w:t>ducation</w:t>
      </w:r>
      <w:r w:rsidR="0070442A" w:rsidRPr="00D611E8">
        <w:rPr>
          <w:rFonts w:asciiTheme="minorHAnsi" w:hAnsiTheme="minorHAnsi" w:cstheme="minorHAnsi"/>
          <w:sz w:val="24"/>
          <w:szCs w:val="24"/>
        </w:rPr>
        <w:t xml:space="preserve"> guidance ‘Careers Guidance and access for ed</w:t>
      </w:r>
      <w:r w:rsidR="00612B0B">
        <w:rPr>
          <w:rFonts w:asciiTheme="minorHAnsi" w:hAnsiTheme="minorHAnsi" w:cstheme="minorHAnsi"/>
          <w:sz w:val="24"/>
          <w:szCs w:val="24"/>
        </w:rPr>
        <w:t>ucation and training providers -</w:t>
      </w:r>
      <w:r w:rsidR="0070442A" w:rsidRPr="00D611E8">
        <w:rPr>
          <w:rFonts w:asciiTheme="minorHAnsi" w:hAnsiTheme="minorHAnsi" w:cstheme="minorHAnsi"/>
          <w:sz w:val="24"/>
          <w:szCs w:val="24"/>
        </w:rPr>
        <w:t xml:space="preserve"> statutory guidance for schools and guidance for further education colleges and sixth form colleges.</w:t>
      </w:r>
      <w:r w:rsidR="00AF041A" w:rsidRPr="00D611E8">
        <w:rPr>
          <w:rFonts w:asciiTheme="minorHAnsi" w:hAnsiTheme="minorHAnsi" w:cstheme="minorHAnsi"/>
          <w:sz w:val="24"/>
          <w:szCs w:val="24"/>
        </w:rPr>
        <w:t>’</w:t>
      </w:r>
      <w:r w:rsidR="0070442A" w:rsidRPr="00D611E8">
        <w:rPr>
          <w:rFonts w:asciiTheme="minorHAnsi" w:hAnsiTheme="minorHAnsi" w:cstheme="minorHAnsi"/>
          <w:sz w:val="24"/>
          <w:szCs w:val="24"/>
        </w:rPr>
        <w:t xml:space="preserve"> </w:t>
      </w:r>
    </w:p>
    <w:p w14:paraId="451DDB99" w14:textId="7074BB72" w:rsidR="0070442A" w:rsidRDefault="00CD7AE1" w:rsidP="00D611E8">
      <w:pPr>
        <w:spacing w:line="276" w:lineRule="auto"/>
        <w:rPr>
          <w:rFonts w:asciiTheme="minorHAnsi" w:hAnsiTheme="minorHAnsi" w:cstheme="minorHAnsi"/>
          <w:sz w:val="24"/>
          <w:szCs w:val="24"/>
        </w:rPr>
      </w:pPr>
      <w:r w:rsidRPr="00D611E8">
        <w:rPr>
          <w:rFonts w:asciiTheme="minorHAnsi" w:hAnsiTheme="minorHAnsi" w:cstheme="minorHAnsi"/>
          <w:sz w:val="24"/>
          <w:szCs w:val="24"/>
        </w:rPr>
        <w:t>This policy recognises the</w:t>
      </w:r>
      <w:r w:rsidR="0070442A" w:rsidRPr="00D611E8">
        <w:rPr>
          <w:rFonts w:asciiTheme="minorHAnsi" w:hAnsiTheme="minorHAnsi" w:cstheme="minorHAnsi"/>
          <w:sz w:val="24"/>
          <w:szCs w:val="24"/>
        </w:rPr>
        <w:t xml:space="preserve"> Gatsby benchmarks </w:t>
      </w:r>
      <w:r w:rsidR="00AF041A" w:rsidRPr="00D611E8">
        <w:rPr>
          <w:rFonts w:asciiTheme="minorHAnsi" w:hAnsiTheme="minorHAnsi" w:cstheme="minorHAnsi"/>
          <w:sz w:val="24"/>
          <w:szCs w:val="24"/>
        </w:rPr>
        <w:t xml:space="preserve">as </w:t>
      </w:r>
      <w:r w:rsidR="00FB5E5B" w:rsidRPr="00D611E8">
        <w:rPr>
          <w:rFonts w:asciiTheme="minorHAnsi" w:hAnsiTheme="minorHAnsi" w:cstheme="minorHAnsi"/>
          <w:sz w:val="24"/>
          <w:szCs w:val="24"/>
        </w:rPr>
        <w:t xml:space="preserve">the underpinning elements of good careers guidance. </w:t>
      </w:r>
    </w:p>
    <w:p w14:paraId="4947EA51" w14:textId="74209AB6" w:rsidR="00B054A5" w:rsidRPr="00D611E8" w:rsidRDefault="00B054A5" w:rsidP="000A4037">
      <w:pPr>
        <w:rPr>
          <w:rFonts w:asciiTheme="minorHAnsi" w:hAnsiTheme="minorHAnsi" w:cstheme="minorHAnsi"/>
          <w:sz w:val="24"/>
          <w:szCs w:val="24"/>
        </w:rPr>
      </w:pPr>
      <w:r w:rsidRPr="00C35F61">
        <w:rPr>
          <w:rFonts w:asciiTheme="minorHAnsi" w:hAnsiTheme="minorHAnsi" w:cstheme="minorHAnsi"/>
          <w:sz w:val="24"/>
          <w:szCs w:val="24"/>
        </w:rPr>
        <w:t xml:space="preserve">We offer different </w:t>
      </w:r>
      <w:r>
        <w:rPr>
          <w:rFonts w:asciiTheme="minorHAnsi" w:hAnsiTheme="minorHAnsi" w:cstheme="minorHAnsi"/>
          <w:sz w:val="24"/>
          <w:szCs w:val="24"/>
        </w:rPr>
        <w:t xml:space="preserve">educational </w:t>
      </w:r>
      <w:r w:rsidRPr="00C35F61">
        <w:rPr>
          <w:rFonts w:asciiTheme="minorHAnsi" w:hAnsiTheme="minorHAnsi" w:cstheme="minorHAnsi"/>
          <w:sz w:val="24"/>
          <w:szCs w:val="24"/>
        </w:rPr>
        <w:t>pathways</w:t>
      </w:r>
      <w:r>
        <w:rPr>
          <w:rFonts w:asciiTheme="minorHAnsi" w:hAnsiTheme="minorHAnsi" w:cstheme="minorHAnsi"/>
          <w:sz w:val="24"/>
          <w:szCs w:val="24"/>
        </w:rPr>
        <w:t>,</w:t>
      </w:r>
      <w:r w:rsidRPr="00C35F61">
        <w:rPr>
          <w:rFonts w:asciiTheme="minorHAnsi" w:hAnsiTheme="minorHAnsi" w:cstheme="minorHAnsi"/>
          <w:sz w:val="24"/>
          <w:szCs w:val="24"/>
        </w:rPr>
        <w:t xml:space="preserve"> and work with Loughborough College, so our students gain the skills, knowledge, behaviours and experience</w:t>
      </w:r>
      <w:r>
        <w:rPr>
          <w:rFonts w:asciiTheme="minorHAnsi" w:hAnsiTheme="minorHAnsi" w:cstheme="minorHAnsi"/>
          <w:sz w:val="24"/>
          <w:szCs w:val="24"/>
        </w:rPr>
        <w:t>s to</w:t>
      </w:r>
      <w:r w:rsidRPr="00C35F61">
        <w:rPr>
          <w:rFonts w:asciiTheme="minorHAnsi" w:hAnsiTheme="minorHAnsi" w:cstheme="minorHAnsi"/>
          <w:sz w:val="24"/>
          <w:szCs w:val="24"/>
        </w:rPr>
        <w:t xml:space="preserve"> achieve their goals.  </w:t>
      </w:r>
      <w:r>
        <w:rPr>
          <w:rFonts w:asciiTheme="minorHAnsi" w:hAnsiTheme="minorHAnsi" w:cstheme="minorHAnsi"/>
          <w:sz w:val="24"/>
          <w:szCs w:val="24"/>
        </w:rPr>
        <w:t xml:space="preserve"> Our </w:t>
      </w:r>
      <w:r w:rsidRPr="00C35F61">
        <w:rPr>
          <w:rFonts w:asciiTheme="minorHAnsi" w:hAnsiTheme="minorHAnsi" w:cstheme="minorHAnsi"/>
          <w:sz w:val="24"/>
          <w:szCs w:val="24"/>
        </w:rPr>
        <w:t>careers offer diagram</w:t>
      </w:r>
      <w:r>
        <w:rPr>
          <w:rFonts w:asciiTheme="minorHAnsi" w:hAnsiTheme="minorHAnsi" w:cstheme="minorHAnsi"/>
          <w:sz w:val="24"/>
          <w:szCs w:val="24"/>
        </w:rPr>
        <w:t xml:space="preserve"> (Appendix A)</w:t>
      </w:r>
      <w:r w:rsidRPr="00C35F61">
        <w:rPr>
          <w:rFonts w:asciiTheme="minorHAnsi" w:hAnsiTheme="minorHAnsi" w:cstheme="minorHAnsi"/>
          <w:sz w:val="24"/>
          <w:szCs w:val="24"/>
        </w:rPr>
        <w:t xml:space="preserve"> shows the different </w:t>
      </w:r>
      <w:r>
        <w:rPr>
          <w:rFonts w:asciiTheme="minorHAnsi" w:hAnsiTheme="minorHAnsi" w:cstheme="minorHAnsi"/>
          <w:sz w:val="24"/>
          <w:szCs w:val="24"/>
        </w:rPr>
        <w:t xml:space="preserve">elements that make up </w:t>
      </w:r>
      <w:r w:rsidRPr="00C35F61">
        <w:rPr>
          <w:rFonts w:asciiTheme="minorHAnsi" w:hAnsiTheme="minorHAnsi" w:cstheme="minorHAnsi"/>
          <w:sz w:val="24"/>
          <w:szCs w:val="24"/>
        </w:rPr>
        <w:t>our careers</w:t>
      </w:r>
      <w:r>
        <w:rPr>
          <w:rFonts w:asciiTheme="minorHAnsi" w:hAnsiTheme="minorHAnsi" w:cstheme="minorHAnsi"/>
          <w:sz w:val="24"/>
          <w:szCs w:val="24"/>
        </w:rPr>
        <w:t xml:space="preserve"> guidance programme. </w:t>
      </w:r>
      <w:r w:rsidR="000A4037">
        <w:rPr>
          <w:rFonts w:asciiTheme="minorHAnsi" w:hAnsiTheme="minorHAnsi" w:cstheme="minorHAnsi"/>
          <w:sz w:val="24"/>
          <w:szCs w:val="24"/>
        </w:rPr>
        <w:t xml:space="preserve"> </w:t>
      </w:r>
      <w:r w:rsidR="000A4037" w:rsidRPr="00A54D2D">
        <w:rPr>
          <w:rFonts w:asciiTheme="majorHAnsi" w:hAnsiTheme="majorHAnsi" w:cstheme="majorHAnsi"/>
          <w:sz w:val="24"/>
          <w:szCs w:val="24"/>
        </w:rPr>
        <w:t>This will look different across each of our different education pathways as we will tailor the provision to ensure it is relevant and appropriate.</w:t>
      </w:r>
    </w:p>
    <w:p w14:paraId="7F7283AA" w14:textId="77777777" w:rsidR="000A4037" w:rsidRDefault="000A4037" w:rsidP="00CD7AE1">
      <w:pPr>
        <w:pStyle w:val="Heading2"/>
        <w:rPr>
          <w:color w:val="653279"/>
        </w:rPr>
      </w:pPr>
    </w:p>
    <w:p w14:paraId="58FC10DA" w14:textId="15E14DCE" w:rsidR="00CD7AE1" w:rsidRPr="00CD7AE1" w:rsidRDefault="00CD7AE1" w:rsidP="00CD7AE1">
      <w:pPr>
        <w:pStyle w:val="Heading2"/>
        <w:rPr>
          <w:color w:val="653279"/>
        </w:rPr>
      </w:pPr>
      <w:r w:rsidRPr="00CD7AE1">
        <w:rPr>
          <w:color w:val="653279"/>
        </w:rPr>
        <w:t xml:space="preserve">Aims </w:t>
      </w:r>
    </w:p>
    <w:p w14:paraId="133DB68D" w14:textId="77777777" w:rsidR="00CD7AE1" w:rsidRPr="00CD7AE1" w:rsidRDefault="00CD7AE1" w:rsidP="000A4037">
      <w:pPr>
        <w:spacing w:after="0"/>
        <w:rPr>
          <w:lang w:bidi="ar-SA"/>
        </w:rPr>
      </w:pPr>
    </w:p>
    <w:p w14:paraId="784C1C08" w14:textId="54B07718" w:rsidR="00CD7AE1" w:rsidRDefault="00CD7AE1" w:rsidP="00CD7AE1">
      <w:pPr>
        <w:pStyle w:val="Bullet1"/>
        <w:numPr>
          <w:ilvl w:val="0"/>
          <w:numId w:val="0"/>
        </w:numPr>
      </w:pPr>
      <w:r>
        <w:t>Our</w:t>
      </w:r>
      <w:r w:rsidRPr="00473217">
        <w:t xml:space="preserve"> careers programme aims to prepare </w:t>
      </w:r>
      <w:r>
        <w:t xml:space="preserve">students to achieve their </w:t>
      </w:r>
      <w:r w:rsidRPr="00C35F61">
        <w:t>long term goals</w:t>
      </w:r>
      <w:r>
        <w:t xml:space="preserve"> and prepare </w:t>
      </w:r>
      <w:r w:rsidR="001814EE">
        <w:t xml:space="preserve">them </w:t>
      </w:r>
      <w:r>
        <w:t>for life after college</w:t>
      </w:r>
      <w:r w:rsidRPr="00C35F61">
        <w:t>.  This may be to get a job, voluntary work or get more involved in the</w:t>
      </w:r>
      <w:r w:rsidR="000A4037">
        <w:t>ir</w:t>
      </w:r>
      <w:r w:rsidRPr="00C35F61">
        <w:t xml:space="preserve"> local community.  We support our students to be as independent as possible</w:t>
      </w:r>
      <w:r w:rsidR="001814EE">
        <w:t>, and</w:t>
      </w:r>
      <w:r w:rsidRPr="00C35F61">
        <w:t xml:space="preserve"> from the moment our students start at college, everything we do will be working to make this happen.   </w:t>
      </w:r>
    </w:p>
    <w:p w14:paraId="30A43AEC" w14:textId="150B947C" w:rsidR="00053CD7" w:rsidRPr="00CD7AE1" w:rsidRDefault="00AF041A" w:rsidP="00AF041A">
      <w:pPr>
        <w:pStyle w:val="Heading2"/>
        <w:rPr>
          <w:color w:val="653279"/>
        </w:rPr>
      </w:pPr>
      <w:r w:rsidRPr="00CD7AE1">
        <w:rPr>
          <w:color w:val="653279"/>
        </w:rPr>
        <w:t>Objectives</w:t>
      </w:r>
    </w:p>
    <w:p w14:paraId="4EA765D9" w14:textId="77777777" w:rsidR="00327DB6" w:rsidRDefault="00327DB6" w:rsidP="003E702C">
      <w:pPr>
        <w:rPr>
          <w:szCs w:val="28"/>
        </w:rPr>
      </w:pPr>
    </w:p>
    <w:p w14:paraId="76DAF247" w14:textId="77777777" w:rsidR="009E2930" w:rsidRDefault="00A54D2D" w:rsidP="009E2930">
      <w:pPr>
        <w:rPr>
          <w:rFonts w:ascii="Arial" w:hAnsi="Arial"/>
          <w:bCs/>
          <w:color w:val="000000"/>
          <w:sz w:val="24"/>
          <w:szCs w:val="24"/>
          <w:lang w:eastAsia="en-GB"/>
        </w:rPr>
      </w:pPr>
      <w:r w:rsidRPr="00A54D2D">
        <w:rPr>
          <w:rFonts w:ascii="Arial" w:hAnsi="Arial"/>
          <w:bCs/>
          <w:color w:val="000000"/>
          <w:sz w:val="24"/>
          <w:szCs w:val="24"/>
          <w:lang w:eastAsia="en-GB"/>
        </w:rPr>
        <w:t>The objectives of the Careers Education, Information, Advice and Guidance policy are as follows:</w:t>
      </w:r>
    </w:p>
    <w:p w14:paraId="46EC6FAF" w14:textId="33203D43" w:rsidR="003E702C" w:rsidRPr="003E702C" w:rsidRDefault="00A54D2D" w:rsidP="009E2930">
      <w:pPr>
        <w:pStyle w:val="Bullet1"/>
      </w:pPr>
      <w:r>
        <w:lastRenderedPageBreak/>
        <w:t>To ensure</w:t>
      </w:r>
      <w:r w:rsidR="003E702C" w:rsidRPr="003E702C">
        <w:t xml:space="preserve"> </w:t>
      </w:r>
      <w:r w:rsidR="005B7CEF">
        <w:t xml:space="preserve">there is a programme of </w:t>
      </w:r>
      <w:r w:rsidR="003E702C" w:rsidRPr="003E702C">
        <w:t>careers</w:t>
      </w:r>
      <w:r w:rsidR="005B7CEF">
        <w:t xml:space="preserve"> guidance</w:t>
      </w:r>
      <w:r w:rsidR="00F154B1">
        <w:t xml:space="preserve"> which is reviewed, evaluated and available for students, parents/carers, governors and employers to see. </w:t>
      </w:r>
    </w:p>
    <w:p w14:paraId="77855FAB" w14:textId="58BE4093" w:rsidR="003E702C" w:rsidRPr="003E702C" w:rsidRDefault="003E702C" w:rsidP="003E702C">
      <w:pPr>
        <w:pStyle w:val="Bullet1"/>
      </w:pPr>
      <w:r w:rsidRPr="003E702C">
        <w:t xml:space="preserve">To </w:t>
      </w:r>
      <w:r w:rsidR="00A54D2D">
        <w:t>provide our students (and where relevant their families) with information to help them make informed choices about their next steps</w:t>
      </w:r>
      <w:r w:rsidR="00327DB6">
        <w:t xml:space="preserve"> </w:t>
      </w:r>
      <w:r w:rsidR="00A54D2D">
        <w:t>(</w:t>
      </w:r>
      <w:r w:rsidR="00327DB6">
        <w:t>Labour M</w:t>
      </w:r>
      <w:r w:rsidRPr="003E702C">
        <w:t>arket</w:t>
      </w:r>
      <w:r w:rsidR="00A54D2D">
        <w:t xml:space="preserve"> </w:t>
      </w:r>
      <w:r w:rsidR="00327DB6">
        <w:t>I</w:t>
      </w:r>
      <w:r w:rsidR="00A54D2D">
        <w:t>nformation</w:t>
      </w:r>
      <w:r w:rsidR="00327DB6">
        <w:t>, known as</w:t>
      </w:r>
      <w:r w:rsidR="00A54D2D">
        <w:t xml:space="preserve"> LMI)</w:t>
      </w:r>
    </w:p>
    <w:p w14:paraId="52B40DD1" w14:textId="75F94028" w:rsidR="003E702C" w:rsidRPr="003E702C" w:rsidRDefault="003E702C" w:rsidP="003E702C">
      <w:pPr>
        <w:pStyle w:val="Bullet1"/>
      </w:pPr>
      <w:r w:rsidRPr="003E702C">
        <w:t>T</w:t>
      </w:r>
      <w:r w:rsidR="00344E56">
        <w:t xml:space="preserve">o provide careers </w:t>
      </w:r>
      <w:r w:rsidR="005B7CEF">
        <w:t xml:space="preserve">guidance </w:t>
      </w:r>
      <w:r w:rsidR="00344E56">
        <w:t>that is</w:t>
      </w:r>
      <w:r w:rsidRPr="003E702C">
        <w:t xml:space="preserve"> individual and address</w:t>
      </w:r>
      <w:r w:rsidR="00F154B1">
        <w:t>es</w:t>
      </w:r>
      <w:r w:rsidRPr="003E702C">
        <w:t xml:space="preserve"> the needs of each student</w:t>
      </w:r>
    </w:p>
    <w:p w14:paraId="6082FDF0" w14:textId="571950F3" w:rsidR="003E702C" w:rsidRPr="003E702C" w:rsidRDefault="008A7D23" w:rsidP="003E702C">
      <w:pPr>
        <w:pStyle w:val="Bullet1"/>
      </w:pPr>
      <w:r>
        <w:t xml:space="preserve">To ensure our </w:t>
      </w:r>
      <w:r w:rsidR="003E702C" w:rsidRPr="003E702C">
        <w:t xml:space="preserve">curriculum learning </w:t>
      </w:r>
      <w:r>
        <w:t xml:space="preserve">is linked </w:t>
      </w:r>
      <w:r w:rsidR="003E702C" w:rsidRPr="003E702C">
        <w:t xml:space="preserve">to </w:t>
      </w:r>
      <w:r w:rsidR="005B7CEF">
        <w:t>our students next steps</w:t>
      </w:r>
    </w:p>
    <w:p w14:paraId="0D2A1790" w14:textId="17765075" w:rsidR="003E702C" w:rsidRPr="003E702C" w:rsidRDefault="003E702C" w:rsidP="00F154B1">
      <w:pPr>
        <w:pStyle w:val="Bullet1"/>
      </w:pPr>
      <w:r w:rsidRPr="003E702C">
        <w:t xml:space="preserve">To provide students with </w:t>
      </w:r>
      <w:r w:rsidR="00F154B1">
        <w:t xml:space="preserve">relevant encounters and experiences of organisations and individuals linked to their potential next steps (this could be work experience, visits to Further Education colleges, talks from past students, social care providers, or services our students will encounter when they finish college)  </w:t>
      </w:r>
    </w:p>
    <w:p w14:paraId="21045C85" w14:textId="582EE33F" w:rsidR="00053CD7" w:rsidRDefault="003E702C" w:rsidP="003E702C">
      <w:pPr>
        <w:pStyle w:val="Bullet1"/>
      </w:pPr>
      <w:r w:rsidRPr="003E702C">
        <w:t>To provide each student with the opportunity to receive personal guidance</w:t>
      </w:r>
    </w:p>
    <w:p w14:paraId="0F951A9B" w14:textId="3BA92A1D" w:rsidR="00053CD7" w:rsidRDefault="00053CD7" w:rsidP="00053CD7">
      <w:pPr>
        <w:pStyle w:val="Default"/>
        <w:rPr>
          <w:b/>
          <w:bCs/>
          <w:color w:val="653279"/>
          <w:sz w:val="36"/>
          <w:szCs w:val="36"/>
        </w:rPr>
      </w:pPr>
    </w:p>
    <w:p w14:paraId="662A5824" w14:textId="77777777" w:rsidR="00053CD7" w:rsidRDefault="00053CD7" w:rsidP="00053CD7">
      <w:pPr>
        <w:pStyle w:val="Default"/>
        <w:rPr>
          <w:b/>
          <w:bCs/>
          <w:color w:val="653279"/>
          <w:sz w:val="36"/>
          <w:szCs w:val="36"/>
        </w:rPr>
      </w:pPr>
      <w:r>
        <w:rPr>
          <w:b/>
          <w:bCs/>
          <w:color w:val="653279"/>
          <w:sz w:val="36"/>
          <w:szCs w:val="36"/>
        </w:rPr>
        <w:t>Associated college documents</w:t>
      </w:r>
    </w:p>
    <w:p w14:paraId="018440E3" w14:textId="77777777" w:rsidR="00053CD7" w:rsidRDefault="00053CD7" w:rsidP="00053CD7">
      <w:pPr>
        <w:pStyle w:val="Default"/>
        <w:rPr>
          <w:b/>
          <w:bCs/>
          <w:color w:val="653279"/>
          <w:sz w:val="36"/>
          <w:szCs w:val="36"/>
        </w:rPr>
      </w:pPr>
    </w:p>
    <w:p w14:paraId="49B9F5D8" w14:textId="77777777" w:rsidR="00053CD7" w:rsidRPr="00F304A4" w:rsidRDefault="00053CD7" w:rsidP="00F304A4">
      <w:pPr>
        <w:pStyle w:val="Bullet1"/>
      </w:pPr>
      <w:r w:rsidRPr="00F304A4">
        <w:t>Provider Access Legislation (PAL) policy</w:t>
      </w:r>
    </w:p>
    <w:p w14:paraId="7E192DD7" w14:textId="77777777" w:rsidR="00053CD7" w:rsidRPr="00F304A4" w:rsidRDefault="00053CD7" w:rsidP="00F304A4">
      <w:pPr>
        <w:pStyle w:val="Bullet1"/>
      </w:pPr>
      <w:r w:rsidRPr="00F304A4">
        <w:t xml:space="preserve">Careers Offer/Careers programme document </w:t>
      </w:r>
    </w:p>
    <w:p w14:paraId="27009CA0" w14:textId="77777777" w:rsidR="00053CD7" w:rsidRDefault="00053CD7" w:rsidP="00053CD7">
      <w:pPr>
        <w:pStyle w:val="Default"/>
        <w:rPr>
          <w:b/>
          <w:bCs/>
          <w:color w:val="653279"/>
          <w:sz w:val="36"/>
          <w:szCs w:val="36"/>
        </w:rPr>
      </w:pPr>
    </w:p>
    <w:p w14:paraId="5D8561FE" w14:textId="52FA15CF" w:rsidR="00053CD7" w:rsidRPr="00DD7D2A" w:rsidRDefault="006D3203" w:rsidP="00053CD7">
      <w:pPr>
        <w:pStyle w:val="Default"/>
        <w:rPr>
          <w:b/>
          <w:bCs/>
          <w:color w:val="653279"/>
          <w:sz w:val="36"/>
          <w:szCs w:val="36"/>
        </w:rPr>
      </w:pPr>
      <w:r>
        <w:rPr>
          <w:b/>
          <w:bCs/>
          <w:color w:val="653279"/>
          <w:sz w:val="36"/>
          <w:szCs w:val="36"/>
        </w:rPr>
        <w:t>External partners supporting our careers guidance offer</w:t>
      </w:r>
    </w:p>
    <w:p w14:paraId="610D2C22" w14:textId="0B6F3E0D" w:rsidR="00053CD7" w:rsidRPr="00E453D7" w:rsidRDefault="00053CD7" w:rsidP="00053CD7">
      <w:pPr>
        <w:spacing w:before="240"/>
        <w:rPr>
          <w:rFonts w:ascii="Arial" w:hAnsi="Arial"/>
          <w:bCs/>
          <w:sz w:val="24"/>
          <w:szCs w:val="24"/>
        </w:rPr>
      </w:pPr>
      <w:r w:rsidRPr="00E453D7">
        <w:rPr>
          <w:rFonts w:ascii="Arial" w:hAnsi="Arial"/>
          <w:bCs/>
          <w:sz w:val="24"/>
          <w:szCs w:val="24"/>
        </w:rPr>
        <w:t xml:space="preserve">We work with a number of organisations externally to support our </w:t>
      </w:r>
      <w:r w:rsidR="00993787">
        <w:rPr>
          <w:rFonts w:ascii="Arial" w:hAnsi="Arial"/>
          <w:bCs/>
          <w:sz w:val="24"/>
          <w:szCs w:val="24"/>
        </w:rPr>
        <w:t>CEIAG</w:t>
      </w:r>
      <w:r w:rsidRPr="00E453D7">
        <w:rPr>
          <w:rFonts w:ascii="Arial" w:hAnsi="Arial"/>
          <w:bCs/>
          <w:sz w:val="24"/>
          <w:szCs w:val="24"/>
        </w:rPr>
        <w:t xml:space="preserve">, this includes: </w:t>
      </w:r>
    </w:p>
    <w:p w14:paraId="5B196251" w14:textId="78EE60B1" w:rsidR="00053CD7" w:rsidRPr="00E453D7" w:rsidRDefault="00053CD7" w:rsidP="00E453D7">
      <w:pPr>
        <w:pStyle w:val="Bullet1"/>
      </w:pPr>
      <w:r w:rsidRPr="00E453D7">
        <w:t xml:space="preserve">Leicester and Leicestershire Enterprise Partnership (LLEP) </w:t>
      </w:r>
    </w:p>
    <w:p w14:paraId="0D06461A" w14:textId="700AF33D" w:rsidR="00053CD7" w:rsidRPr="00E453D7" w:rsidRDefault="00053CD7" w:rsidP="00A37A9C">
      <w:pPr>
        <w:pStyle w:val="Bullet1"/>
      </w:pPr>
      <w:r w:rsidRPr="00E453D7">
        <w:t>Leicestershire Education Business Company (LEBC) Personal Advisor</w:t>
      </w:r>
      <w:r w:rsidR="00993787">
        <w:t xml:space="preserve"> for our IAG sessions</w:t>
      </w:r>
    </w:p>
    <w:p w14:paraId="7A68742A" w14:textId="58DFAB3E" w:rsidR="00053CD7" w:rsidRPr="00E453D7" w:rsidRDefault="00053CD7" w:rsidP="00E453D7">
      <w:pPr>
        <w:pStyle w:val="Bullet1"/>
      </w:pPr>
      <w:r w:rsidRPr="00E453D7">
        <w:t>Department for Work and Pensions (DWP) local Schools/College Advisor</w:t>
      </w:r>
    </w:p>
    <w:p w14:paraId="134E9A9A" w14:textId="46795096" w:rsidR="00053CD7" w:rsidRPr="00E453D7" w:rsidRDefault="00053CD7" w:rsidP="00E453D7">
      <w:pPr>
        <w:pStyle w:val="Bullet1"/>
      </w:pPr>
      <w:r w:rsidRPr="00E453D7">
        <w:t>Pathways</w:t>
      </w:r>
      <w:r w:rsidR="00993787">
        <w:t xml:space="preserve"> (</w:t>
      </w:r>
      <w:r w:rsidRPr="00E453D7">
        <w:t xml:space="preserve">a widening participation partnership project delivered by some of the </w:t>
      </w:r>
      <w:r w:rsidR="00993787" w:rsidRPr="00E453D7">
        <w:t>H</w:t>
      </w:r>
      <w:r w:rsidR="00993787">
        <w:t xml:space="preserve">igher </w:t>
      </w:r>
      <w:r w:rsidRPr="00E453D7">
        <w:t>E</w:t>
      </w:r>
      <w:r w:rsidR="00993787">
        <w:t>ducation</w:t>
      </w:r>
      <w:r w:rsidRPr="00E453D7">
        <w:t xml:space="preserve"> and F</w:t>
      </w:r>
      <w:r w:rsidR="00993787">
        <w:t xml:space="preserve">urther </w:t>
      </w:r>
      <w:r w:rsidRPr="00E453D7">
        <w:t>E</w:t>
      </w:r>
      <w:r w:rsidR="00993787">
        <w:t>ducation providers</w:t>
      </w:r>
      <w:r w:rsidRPr="00E453D7">
        <w:t xml:space="preserve"> across Leicester and Leicestershire and Rutland</w:t>
      </w:r>
      <w:r w:rsidR="00993787">
        <w:t xml:space="preserve">) have delivered a project to some of our students considering FE. </w:t>
      </w:r>
      <w:r w:rsidRPr="00E453D7">
        <w:t xml:space="preserve"> </w:t>
      </w:r>
    </w:p>
    <w:p w14:paraId="498DB84C" w14:textId="77777777" w:rsidR="00053CD7" w:rsidRPr="00E453D7" w:rsidRDefault="00053CD7" w:rsidP="00053CD7">
      <w:pPr>
        <w:rPr>
          <w:rFonts w:ascii="Arial" w:hAnsi="Arial"/>
          <w:sz w:val="24"/>
          <w:szCs w:val="24"/>
        </w:rPr>
      </w:pPr>
      <w:r w:rsidRPr="00E453D7">
        <w:rPr>
          <w:rFonts w:ascii="Arial" w:hAnsi="Arial"/>
          <w:sz w:val="24"/>
          <w:szCs w:val="24"/>
        </w:rPr>
        <w:t xml:space="preserve">In addition the college also has a number of local organisations who support us with work placements and other employer interactions for our students. </w:t>
      </w:r>
    </w:p>
    <w:p w14:paraId="3573AA50" w14:textId="4001BF8E" w:rsidR="00053CD7" w:rsidRPr="00F34B14" w:rsidRDefault="00053CD7" w:rsidP="00053CD7">
      <w:pPr>
        <w:rPr>
          <w:szCs w:val="20"/>
        </w:rPr>
      </w:pPr>
    </w:p>
    <w:p w14:paraId="315987AB" w14:textId="23C82094" w:rsidR="00053CD7" w:rsidRDefault="00053CD7" w:rsidP="00053CD7">
      <w:pPr>
        <w:pStyle w:val="Default"/>
        <w:rPr>
          <w:b/>
          <w:bCs/>
          <w:color w:val="653279"/>
          <w:sz w:val="36"/>
          <w:szCs w:val="36"/>
        </w:rPr>
      </w:pPr>
      <w:r w:rsidRPr="00DB0FEA">
        <w:rPr>
          <w:b/>
          <w:bCs/>
          <w:color w:val="653279"/>
          <w:sz w:val="36"/>
          <w:szCs w:val="36"/>
        </w:rPr>
        <w:t xml:space="preserve">National documents influencing </w:t>
      </w:r>
      <w:r>
        <w:rPr>
          <w:b/>
          <w:bCs/>
          <w:color w:val="653279"/>
          <w:sz w:val="36"/>
          <w:szCs w:val="36"/>
        </w:rPr>
        <w:t>our careers</w:t>
      </w:r>
      <w:r w:rsidR="00AF041A">
        <w:rPr>
          <w:b/>
          <w:bCs/>
          <w:color w:val="653279"/>
          <w:sz w:val="36"/>
          <w:szCs w:val="36"/>
        </w:rPr>
        <w:t xml:space="preserve"> </w:t>
      </w:r>
      <w:r>
        <w:rPr>
          <w:b/>
          <w:bCs/>
          <w:color w:val="653279"/>
          <w:sz w:val="36"/>
          <w:szCs w:val="36"/>
        </w:rPr>
        <w:t xml:space="preserve">guidance offer </w:t>
      </w:r>
    </w:p>
    <w:p w14:paraId="52B68555" w14:textId="4E20D772" w:rsidR="00053CD7" w:rsidRDefault="00053CD7" w:rsidP="00053CD7">
      <w:pPr>
        <w:pStyle w:val="Default"/>
        <w:rPr>
          <w:b/>
          <w:bCs/>
          <w:color w:val="653279"/>
          <w:sz w:val="36"/>
          <w:szCs w:val="36"/>
        </w:rPr>
      </w:pPr>
    </w:p>
    <w:p w14:paraId="3036A17A" w14:textId="42482720" w:rsidR="00053CD7" w:rsidRPr="00F304A4" w:rsidRDefault="00AD7133" w:rsidP="003027F6">
      <w:pPr>
        <w:pStyle w:val="Bullet1"/>
        <w:numPr>
          <w:ilvl w:val="0"/>
          <w:numId w:val="0"/>
        </w:numPr>
      </w:pPr>
      <w:r>
        <w:t>All Further E</w:t>
      </w:r>
      <w:r w:rsidR="003027F6" w:rsidRPr="003027F6">
        <w:t xml:space="preserve">ducation (FE) colleges have been required to secure access to independent careers guidance </w:t>
      </w:r>
      <w:r w:rsidR="003027F6">
        <w:t xml:space="preserve">since </w:t>
      </w:r>
      <w:r w:rsidR="003027F6" w:rsidRPr="003027F6">
        <w:t xml:space="preserve">September 2013. This requirement is part of FE college funding agreements. </w:t>
      </w:r>
      <w:r w:rsidR="00053CD7" w:rsidRPr="00F304A4">
        <w:lastRenderedPageBreak/>
        <w:t xml:space="preserve">Careers guidance and access for education and training providers - Statutory guidance for schools and guidance for further education colleges and sixth form colleges (January 2023) </w:t>
      </w:r>
    </w:p>
    <w:p w14:paraId="61BA0A61" w14:textId="2EB74984" w:rsidR="00053CD7" w:rsidRPr="00F304A4" w:rsidRDefault="00053CD7" w:rsidP="00993787">
      <w:pPr>
        <w:pStyle w:val="Bullet1"/>
      </w:pPr>
      <w:r w:rsidRPr="00F304A4">
        <w:t xml:space="preserve">The Gatsby Benchmarks for good careers guidance </w:t>
      </w:r>
    </w:p>
    <w:p w14:paraId="4E3F6033" w14:textId="4C0CFA1A" w:rsidR="00053CD7" w:rsidRDefault="00053CD7" w:rsidP="001826EB">
      <w:pPr>
        <w:pStyle w:val="Bullet1"/>
      </w:pPr>
      <w:r w:rsidRPr="00F304A4">
        <w:t>The Matrix Standard, International quality standard for organisations that deliver information, advice and/or guidance (IAG)</w:t>
      </w:r>
    </w:p>
    <w:p w14:paraId="28E3A36B" w14:textId="5BC612EC" w:rsidR="00AF041A" w:rsidRDefault="00AF041A" w:rsidP="001826EB">
      <w:pPr>
        <w:pStyle w:val="Bullet1"/>
      </w:pPr>
      <w:r>
        <w:t>Provider Access Legislation (please see our Provider Access Legislation statement on our website)</w:t>
      </w:r>
    </w:p>
    <w:p w14:paraId="400A91EC" w14:textId="77777777" w:rsidR="00993787" w:rsidRPr="00993787" w:rsidRDefault="00993787" w:rsidP="00993787">
      <w:pPr>
        <w:pStyle w:val="Bullet1"/>
        <w:numPr>
          <w:ilvl w:val="0"/>
          <w:numId w:val="0"/>
        </w:numPr>
        <w:ind w:left="340"/>
      </w:pPr>
    </w:p>
    <w:p w14:paraId="41263F0F" w14:textId="44EED959" w:rsidR="001826EB" w:rsidRPr="00DD7D2A" w:rsidRDefault="001826EB" w:rsidP="001826EB">
      <w:pPr>
        <w:pStyle w:val="Default"/>
        <w:rPr>
          <w:b/>
          <w:bCs/>
          <w:color w:val="653279"/>
          <w:sz w:val="36"/>
          <w:szCs w:val="36"/>
        </w:rPr>
      </w:pPr>
      <w:r w:rsidRPr="00B07516">
        <w:rPr>
          <w:b/>
          <w:bCs/>
          <w:color w:val="653279"/>
          <w:sz w:val="36"/>
          <w:szCs w:val="36"/>
        </w:rPr>
        <w:t xml:space="preserve">Monitoring and quality assuring our </w:t>
      </w:r>
      <w:r>
        <w:rPr>
          <w:b/>
          <w:bCs/>
          <w:color w:val="653279"/>
          <w:sz w:val="36"/>
          <w:szCs w:val="36"/>
        </w:rPr>
        <w:t xml:space="preserve">Careers </w:t>
      </w:r>
      <w:r w:rsidR="00F304A4">
        <w:rPr>
          <w:b/>
          <w:bCs/>
          <w:color w:val="653279"/>
          <w:sz w:val="36"/>
          <w:szCs w:val="36"/>
        </w:rPr>
        <w:t xml:space="preserve">Education </w:t>
      </w:r>
      <w:r>
        <w:rPr>
          <w:b/>
          <w:bCs/>
          <w:color w:val="653279"/>
          <w:sz w:val="36"/>
          <w:szCs w:val="36"/>
        </w:rPr>
        <w:t>Information, Advice and Guidance (C</w:t>
      </w:r>
      <w:r w:rsidR="00F304A4">
        <w:rPr>
          <w:b/>
          <w:bCs/>
          <w:color w:val="653279"/>
          <w:sz w:val="36"/>
          <w:szCs w:val="36"/>
        </w:rPr>
        <w:t>E</w:t>
      </w:r>
      <w:r>
        <w:rPr>
          <w:b/>
          <w:bCs/>
          <w:color w:val="653279"/>
          <w:sz w:val="36"/>
          <w:szCs w:val="36"/>
        </w:rPr>
        <w:t xml:space="preserve">IAG) </w:t>
      </w:r>
      <w:r w:rsidRPr="00B07516">
        <w:rPr>
          <w:b/>
          <w:bCs/>
          <w:color w:val="653279"/>
          <w:sz w:val="36"/>
          <w:szCs w:val="36"/>
        </w:rPr>
        <w:t xml:space="preserve">provision </w:t>
      </w:r>
    </w:p>
    <w:p w14:paraId="796C6F0E" w14:textId="162B941E" w:rsidR="001826EB" w:rsidRPr="00B07516" w:rsidRDefault="001826EB" w:rsidP="001826EB">
      <w:pPr>
        <w:rPr>
          <w:szCs w:val="28"/>
        </w:rPr>
      </w:pPr>
    </w:p>
    <w:p w14:paraId="4FED5788" w14:textId="77777777" w:rsidR="001826EB" w:rsidRPr="00F304A4" w:rsidRDefault="001826EB" w:rsidP="001826EB">
      <w:pPr>
        <w:pStyle w:val="Bullet1"/>
        <w:numPr>
          <w:ilvl w:val="0"/>
          <w:numId w:val="4"/>
        </w:numPr>
        <w:rPr>
          <w:rFonts w:ascii="Arial" w:hAnsi="Arial" w:cs="Arial"/>
        </w:rPr>
      </w:pPr>
      <w:r w:rsidRPr="00F304A4">
        <w:rPr>
          <w:rFonts w:ascii="Arial" w:hAnsi="Arial" w:cs="Arial"/>
        </w:rPr>
        <w:t>Compass results</w:t>
      </w:r>
    </w:p>
    <w:p w14:paraId="5F43E887" w14:textId="77777777" w:rsidR="001826EB" w:rsidRPr="00F304A4" w:rsidRDefault="001826EB" w:rsidP="001826EB">
      <w:pPr>
        <w:pStyle w:val="Bullet1"/>
        <w:numPr>
          <w:ilvl w:val="0"/>
          <w:numId w:val="4"/>
        </w:numPr>
        <w:rPr>
          <w:rFonts w:ascii="Arial" w:hAnsi="Arial" w:cs="Arial"/>
        </w:rPr>
      </w:pPr>
      <w:r w:rsidRPr="00F304A4">
        <w:rPr>
          <w:rFonts w:ascii="Arial" w:hAnsi="Arial" w:cs="Arial"/>
        </w:rPr>
        <w:t>Matrix accreditation and annual continuous improvement checks</w:t>
      </w:r>
    </w:p>
    <w:p w14:paraId="4B3C6101" w14:textId="0A9443F0" w:rsidR="001826EB" w:rsidRPr="00F304A4" w:rsidRDefault="00F304A4" w:rsidP="001826EB">
      <w:pPr>
        <w:pStyle w:val="Bullet1"/>
        <w:numPr>
          <w:ilvl w:val="0"/>
          <w:numId w:val="4"/>
        </w:numPr>
        <w:rPr>
          <w:rFonts w:ascii="Arial" w:hAnsi="Arial" w:cs="Arial"/>
        </w:rPr>
      </w:pPr>
      <w:r w:rsidRPr="00F304A4">
        <w:rPr>
          <w:rFonts w:ascii="Arial" w:hAnsi="Arial" w:cs="Arial"/>
        </w:rPr>
        <w:t>Staff s</w:t>
      </w:r>
      <w:r w:rsidR="001826EB" w:rsidRPr="00F304A4">
        <w:rPr>
          <w:rFonts w:ascii="Arial" w:hAnsi="Arial" w:cs="Arial"/>
        </w:rPr>
        <w:t xml:space="preserve">elf-assessment </w:t>
      </w:r>
    </w:p>
    <w:p w14:paraId="666234A9" w14:textId="65EBE0E5" w:rsidR="001826EB" w:rsidRPr="00F304A4" w:rsidRDefault="00993787" w:rsidP="001826EB">
      <w:pPr>
        <w:pStyle w:val="Bullet1"/>
        <w:numPr>
          <w:ilvl w:val="0"/>
          <w:numId w:val="4"/>
        </w:numPr>
        <w:rPr>
          <w:rFonts w:ascii="Arial" w:hAnsi="Arial" w:cs="Arial"/>
        </w:rPr>
      </w:pPr>
      <w:r>
        <w:rPr>
          <w:rFonts w:ascii="Arial" w:hAnsi="Arial" w:cs="Arial"/>
        </w:rPr>
        <w:t>S</w:t>
      </w:r>
      <w:r w:rsidR="001826EB" w:rsidRPr="00F304A4">
        <w:rPr>
          <w:rFonts w:ascii="Arial" w:hAnsi="Arial" w:cs="Arial"/>
        </w:rPr>
        <w:t>tudent voice feedback</w:t>
      </w:r>
    </w:p>
    <w:p w14:paraId="608B144E" w14:textId="43B04DF1" w:rsidR="001826EB" w:rsidRPr="00F304A4" w:rsidRDefault="00F304A4" w:rsidP="001826EB">
      <w:pPr>
        <w:pStyle w:val="Bullet1"/>
        <w:numPr>
          <w:ilvl w:val="0"/>
          <w:numId w:val="4"/>
        </w:numPr>
        <w:spacing w:line="300" w:lineRule="auto"/>
        <w:rPr>
          <w:rFonts w:ascii="Arial" w:hAnsi="Arial" w:cs="Arial"/>
        </w:rPr>
      </w:pPr>
      <w:r w:rsidRPr="00F304A4">
        <w:rPr>
          <w:rFonts w:ascii="Arial" w:hAnsi="Arial" w:cs="Arial"/>
        </w:rPr>
        <w:t>Surveys with stakeholders (p</w:t>
      </w:r>
      <w:r w:rsidR="001826EB" w:rsidRPr="00F304A4">
        <w:rPr>
          <w:rFonts w:ascii="Arial" w:hAnsi="Arial" w:cs="Arial"/>
        </w:rPr>
        <w:t>arent/carer, student, employer, staff survey</w:t>
      </w:r>
      <w:r w:rsidRPr="00F304A4">
        <w:rPr>
          <w:rFonts w:ascii="Arial" w:hAnsi="Arial" w:cs="Arial"/>
        </w:rPr>
        <w:t>)</w:t>
      </w:r>
    </w:p>
    <w:p w14:paraId="5296D72A" w14:textId="77777777" w:rsidR="001826EB" w:rsidRPr="00F304A4" w:rsidRDefault="001826EB" w:rsidP="001826EB">
      <w:pPr>
        <w:pStyle w:val="Bullet1"/>
        <w:numPr>
          <w:ilvl w:val="0"/>
          <w:numId w:val="4"/>
        </w:numPr>
        <w:spacing w:line="300" w:lineRule="auto"/>
        <w:rPr>
          <w:rFonts w:ascii="Arial" w:hAnsi="Arial" w:cs="Arial"/>
        </w:rPr>
      </w:pPr>
      <w:r w:rsidRPr="00F304A4">
        <w:rPr>
          <w:rFonts w:ascii="Arial" w:hAnsi="Arial" w:cs="Arial"/>
        </w:rPr>
        <w:t xml:space="preserve">Destinations data </w:t>
      </w:r>
    </w:p>
    <w:p w14:paraId="7FC9567F" w14:textId="77777777" w:rsidR="001826EB" w:rsidRPr="00F304A4" w:rsidRDefault="001826EB" w:rsidP="001826EB">
      <w:pPr>
        <w:pStyle w:val="Bullet1"/>
        <w:numPr>
          <w:ilvl w:val="0"/>
          <w:numId w:val="4"/>
        </w:numPr>
        <w:spacing w:line="300" w:lineRule="auto"/>
        <w:rPr>
          <w:rFonts w:ascii="Arial" w:hAnsi="Arial" w:cs="Arial"/>
        </w:rPr>
      </w:pPr>
      <w:r w:rsidRPr="00F304A4">
        <w:rPr>
          <w:rFonts w:ascii="Arial" w:hAnsi="Arial" w:cs="Arial"/>
        </w:rPr>
        <w:t>Case studies</w:t>
      </w:r>
    </w:p>
    <w:p w14:paraId="6A084A15" w14:textId="77777777" w:rsidR="001826EB" w:rsidRPr="00F304A4" w:rsidRDefault="001826EB" w:rsidP="001826EB">
      <w:pPr>
        <w:pStyle w:val="Bullet1"/>
        <w:numPr>
          <w:ilvl w:val="0"/>
          <w:numId w:val="4"/>
        </w:numPr>
        <w:spacing w:line="300" w:lineRule="auto"/>
        <w:rPr>
          <w:rFonts w:ascii="Arial" w:hAnsi="Arial" w:cs="Arial"/>
        </w:rPr>
      </w:pPr>
      <w:r w:rsidRPr="00F304A4">
        <w:rPr>
          <w:rFonts w:ascii="Arial" w:hAnsi="Arial" w:cs="Arial"/>
        </w:rPr>
        <w:t xml:space="preserve">Annual follow up calls with leavers </w:t>
      </w:r>
    </w:p>
    <w:p w14:paraId="5B0F02E2" w14:textId="77777777" w:rsidR="001826EB" w:rsidRPr="00F304A4" w:rsidRDefault="001826EB" w:rsidP="001826EB">
      <w:pPr>
        <w:pStyle w:val="Bullet1"/>
        <w:numPr>
          <w:ilvl w:val="0"/>
          <w:numId w:val="4"/>
        </w:numPr>
        <w:spacing w:line="300" w:lineRule="auto"/>
        <w:rPr>
          <w:rFonts w:ascii="Arial" w:hAnsi="Arial" w:cs="Arial"/>
        </w:rPr>
      </w:pPr>
      <w:r w:rsidRPr="00F304A4">
        <w:rPr>
          <w:rFonts w:ascii="Arial" w:hAnsi="Arial" w:cs="Arial"/>
        </w:rPr>
        <w:t>Work placement survey</w:t>
      </w:r>
    </w:p>
    <w:p w14:paraId="69EE9096" w14:textId="77777777" w:rsidR="001826EB" w:rsidRPr="00F304A4" w:rsidRDefault="001826EB" w:rsidP="001826EB">
      <w:pPr>
        <w:pStyle w:val="Bullet1"/>
        <w:numPr>
          <w:ilvl w:val="0"/>
          <w:numId w:val="4"/>
        </w:numPr>
        <w:spacing w:line="300" w:lineRule="auto"/>
        <w:rPr>
          <w:rFonts w:ascii="Arial" w:hAnsi="Arial" w:cs="Arial"/>
        </w:rPr>
      </w:pPr>
      <w:r w:rsidRPr="00F304A4">
        <w:rPr>
          <w:rFonts w:ascii="Arial" w:hAnsi="Arial" w:cs="Arial"/>
        </w:rPr>
        <w:t>Surveys before and after an activity</w:t>
      </w:r>
    </w:p>
    <w:p w14:paraId="72791D60" w14:textId="00767712" w:rsidR="001826EB" w:rsidRPr="00F304A4" w:rsidRDefault="001826EB" w:rsidP="00F304A4">
      <w:pPr>
        <w:pStyle w:val="Bullet1"/>
        <w:numPr>
          <w:ilvl w:val="0"/>
          <w:numId w:val="4"/>
        </w:numPr>
        <w:rPr>
          <w:rFonts w:ascii="Arial" w:hAnsi="Arial" w:cs="Arial"/>
        </w:rPr>
      </w:pPr>
      <w:r w:rsidRPr="00F304A4">
        <w:rPr>
          <w:rFonts w:ascii="Arial" w:hAnsi="Arial" w:cs="Arial"/>
        </w:rPr>
        <w:t xml:space="preserve">Reports to our governors </w:t>
      </w:r>
    </w:p>
    <w:p w14:paraId="19C612D8" w14:textId="36EBBEDD" w:rsidR="00053CD7" w:rsidRPr="00AD7133" w:rsidRDefault="001826EB" w:rsidP="00053CD7">
      <w:pPr>
        <w:pStyle w:val="Bullet1"/>
        <w:numPr>
          <w:ilvl w:val="0"/>
          <w:numId w:val="4"/>
        </w:numPr>
        <w:spacing w:line="300" w:lineRule="auto"/>
        <w:rPr>
          <w:rFonts w:ascii="Arial" w:hAnsi="Arial" w:cs="Arial"/>
        </w:rPr>
      </w:pPr>
      <w:r w:rsidRPr="00F304A4">
        <w:rPr>
          <w:rFonts w:ascii="Arial" w:hAnsi="Arial" w:cs="Arial"/>
        </w:rPr>
        <w:t xml:space="preserve">Students targets and target achievement </w:t>
      </w:r>
    </w:p>
    <w:p w14:paraId="2AD754EB" w14:textId="77777777" w:rsidR="009E2930" w:rsidRDefault="009E2930" w:rsidP="00FE73CA">
      <w:pPr>
        <w:pStyle w:val="Default"/>
        <w:rPr>
          <w:b/>
          <w:bCs/>
          <w:color w:val="653279"/>
          <w:sz w:val="36"/>
          <w:szCs w:val="36"/>
        </w:rPr>
      </w:pPr>
    </w:p>
    <w:p w14:paraId="69087361" w14:textId="4B5F8753" w:rsidR="00FE73CA" w:rsidRPr="00DD7D2A" w:rsidRDefault="00FE73CA" w:rsidP="00FE73CA">
      <w:pPr>
        <w:pStyle w:val="Default"/>
        <w:rPr>
          <w:b/>
          <w:bCs/>
          <w:color w:val="653279"/>
          <w:sz w:val="36"/>
          <w:szCs w:val="36"/>
        </w:rPr>
      </w:pPr>
      <w:r w:rsidRPr="00DD7D2A">
        <w:rPr>
          <w:b/>
          <w:bCs/>
          <w:color w:val="653279"/>
          <w:sz w:val="36"/>
          <w:szCs w:val="36"/>
        </w:rPr>
        <w:t xml:space="preserve">Key </w:t>
      </w:r>
      <w:r w:rsidR="001814EE">
        <w:rPr>
          <w:b/>
          <w:bCs/>
          <w:color w:val="653279"/>
          <w:sz w:val="36"/>
          <w:szCs w:val="36"/>
        </w:rPr>
        <w:t>staff involved in our careers guidance provision</w:t>
      </w:r>
    </w:p>
    <w:p w14:paraId="043F3B04" w14:textId="77777777" w:rsidR="00FE73CA" w:rsidRPr="00F34B14" w:rsidRDefault="00FE73CA" w:rsidP="00FE73CA">
      <w:pPr>
        <w:rPr>
          <w:rFonts w:ascii="Helvetica" w:hAnsi="Helvetica" w:cs="Times New Roman"/>
          <w:b/>
          <w:szCs w:val="20"/>
        </w:rPr>
      </w:pPr>
    </w:p>
    <w:p w14:paraId="217D675E" w14:textId="3B68D33A" w:rsidR="00FE73CA" w:rsidRPr="00E453D7" w:rsidRDefault="00FE73CA" w:rsidP="00FE73CA">
      <w:pPr>
        <w:pStyle w:val="Bullet1"/>
        <w:numPr>
          <w:ilvl w:val="0"/>
          <w:numId w:val="4"/>
        </w:numPr>
      </w:pPr>
      <w:r w:rsidRPr="00E453D7">
        <w:t>Gina Hufford, Employment Coordi</w:t>
      </w:r>
      <w:r w:rsidR="00C155D7">
        <w:t>nator (R</w:t>
      </w:r>
      <w:r w:rsidRPr="00E453D7">
        <w:t xml:space="preserve">egistered Careers Leader) responsible for coordinating the college employability programme and employer engagement activity. </w:t>
      </w:r>
      <w:r>
        <w:t>Gina is a member of the Career Development Institute (CDI)</w:t>
      </w:r>
    </w:p>
    <w:p w14:paraId="08C7B5B7" w14:textId="77777777" w:rsidR="00FE73CA" w:rsidRPr="00E453D7" w:rsidRDefault="00FE73CA" w:rsidP="00FE73CA">
      <w:pPr>
        <w:pStyle w:val="Bullet1"/>
        <w:numPr>
          <w:ilvl w:val="0"/>
          <w:numId w:val="4"/>
        </w:numPr>
      </w:pPr>
      <w:r w:rsidRPr="00E453D7">
        <w:t xml:space="preserve">Simone Allen, Transition Coordinator for students on the Vocational pathway </w:t>
      </w:r>
    </w:p>
    <w:p w14:paraId="7092D5DD" w14:textId="77777777" w:rsidR="00FE73CA" w:rsidRPr="00E453D7" w:rsidRDefault="00FE73CA" w:rsidP="00FE73CA">
      <w:pPr>
        <w:pStyle w:val="Bullet1"/>
        <w:numPr>
          <w:ilvl w:val="0"/>
          <w:numId w:val="4"/>
        </w:numPr>
      </w:pPr>
      <w:r w:rsidRPr="00E453D7">
        <w:t>Debbie Bond, Transition Coordinator for students on the Learning for Life and Creative and Enterprise</w:t>
      </w:r>
    </w:p>
    <w:p w14:paraId="0851D693" w14:textId="77777777" w:rsidR="00FE73CA" w:rsidRPr="00E453D7" w:rsidRDefault="00FE73CA" w:rsidP="00FE73CA">
      <w:pPr>
        <w:pStyle w:val="Bullet1"/>
        <w:numPr>
          <w:ilvl w:val="0"/>
          <w:numId w:val="4"/>
        </w:numPr>
      </w:pPr>
      <w:r w:rsidRPr="00E453D7">
        <w:lastRenderedPageBreak/>
        <w:t xml:space="preserve">SEND Tutors, supporting students to reach their long term goals through tutorials and their wider programme of their college learning </w:t>
      </w:r>
    </w:p>
    <w:p w14:paraId="46A16A1E" w14:textId="262E32ED" w:rsidR="00FE73CA" w:rsidRPr="00E453D7" w:rsidRDefault="00FE73CA" w:rsidP="00FE73CA">
      <w:pPr>
        <w:pStyle w:val="Bullet1"/>
        <w:numPr>
          <w:ilvl w:val="0"/>
          <w:numId w:val="4"/>
        </w:numPr>
      </w:pPr>
      <w:r w:rsidRPr="00E453D7">
        <w:t xml:space="preserve">Hannah Wharton, Assistant Principal – Admissions, Engagement and Transitions  </w:t>
      </w:r>
      <w:r w:rsidR="00F505D9">
        <w:t>(</w:t>
      </w:r>
      <w:r w:rsidRPr="00E453D7">
        <w:t xml:space="preserve">Senior </w:t>
      </w:r>
      <w:r>
        <w:t>Management</w:t>
      </w:r>
      <w:r w:rsidRPr="00E453D7">
        <w:t xml:space="preserve"> Team responsibility</w:t>
      </w:r>
      <w:r w:rsidR="00F505D9">
        <w:t xml:space="preserve"> for careers)</w:t>
      </w:r>
      <w:r>
        <w:t xml:space="preserve"> Hannah is a member of the Career Development Institute (CDI)</w:t>
      </w:r>
    </w:p>
    <w:p w14:paraId="74EFCEE7" w14:textId="77777777" w:rsidR="00FE73CA" w:rsidRDefault="00FE73CA" w:rsidP="00053CD7">
      <w:pPr>
        <w:pStyle w:val="Default"/>
        <w:rPr>
          <w:b/>
          <w:bCs/>
          <w:color w:val="653279"/>
          <w:sz w:val="36"/>
          <w:szCs w:val="36"/>
        </w:rPr>
      </w:pPr>
    </w:p>
    <w:p w14:paraId="5ECDA35C" w14:textId="77777777" w:rsidR="00053CD7" w:rsidRPr="00DD7D2A" w:rsidRDefault="00053CD7" w:rsidP="00053CD7">
      <w:pPr>
        <w:pStyle w:val="Default"/>
        <w:rPr>
          <w:b/>
          <w:bCs/>
          <w:color w:val="653279"/>
          <w:sz w:val="36"/>
          <w:szCs w:val="36"/>
        </w:rPr>
      </w:pPr>
      <w:r w:rsidRPr="00DD7D2A">
        <w:rPr>
          <w:b/>
          <w:bCs/>
          <w:color w:val="653279"/>
          <w:sz w:val="36"/>
          <w:szCs w:val="36"/>
        </w:rPr>
        <w:t>Review Procedure</w:t>
      </w:r>
    </w:p>
    <w:p w14:paraId="78FF5B66" w14:textId="0F966434" w:rsidR="00053CD7" w:rsidRPr="00F34B14" w:rsidRDefault="00053CD7" w:rsidP="00053CD7">
      <w:pPr>
        <w:rPr>
          <w:rFonts w:ascii="Helvetica" w:hAnsi="Helvetica" w:cs="Times New Roman"/>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63"/>
      </w:tblGrid>
      <w:tr w:rsidR="001826EB" w:rsidRPr="001C7BFE" w14:paraId="78BBBB39" w14:textId="77777777" w:rsidTr="0018435C">
        <w:trPr>
          <w:trHeight w:val="90"/>
        </w:trPr>
        <w:tc>
          <w:tcPr>
            <w:tcW w:w="2988" w:type="dxa"/>
          </w:tcPr>
          <w:p w14:paraId="556AF49E" w14:textId="77777777" w:rsidR="001826EB" w:rsidRPr="00AF041A" w:rsidRDefault="001826EB" w:rsidP="0018435C">
            <w:pPr>
              <w:tabs>
                <w:tab w:val="center" w:pos="4513"/>
                <w:tab w:val="right" w:pos="9026"/>
              </w:tabs>
              <w:spacing w:after="0" w:line="240" w:lineRule="auto"/>
              <w:rPr>
                <w:rFonts w:ascii="Arial" w:hAnsi="Arial"/>
                <w:sz w:val="24"/>
                <w:szCs w:val="24"/>
              </w:rPr>
            </w:pPr>
            <w:r w:rsidRPr="00AF041A">
              <w:rPr>
                <w:rFonts w:ascii="Arial" w:hAnsi="Arial"/>
                <w:sz w:val="24"/>
                <w:szCs w:val="24"/>
              </w:rPr>
              <w:t>Policy title</w:t>
            </w:r>
          </w:p>
        </w:tc>
        <w:tc>
          <w:tcPr>
            <w:tcW w:w="6363" w:type="dxa"/>
          </w:tcPr>
          <w:p w14:paraId="03373A14" w14:textId="7EB69C4B" w:rsidR="001826EB" w:rsidRPr="001C7BFE" w:rsidRDefault="001826EB" w:rsidP="0018435C">
            <w:pPr>
              <w:keepNext/>
              <w:spacing w:after="140" w:line="240" w:lineRule="auto"/>
              <w:outlineLvl w:val="0"/>
              <w:rPr>
                <w:rFonts w:ascii="Arial" w:eastAsia="Times New Roman" w:hAnsi="Arial"/>
                <w:b/>
                <w:kern w:val="32"/>
                <w:sz w:val="32"/>
                <w:szCs w:val="32"/>
                <w:lang w:eastAsia="en-GB"/>
              </w:rPr>
            </w:pPr>
            <w:r w:rsidRPr="001826EB">
              <w:rPr>
                <w:rFonts w:ascii="Arial" w:eastAsia="Times New Roman" w:hAnsi="Arial"/>
                <w:b/>
                <w:kern w:val="32"/>
                <w:sz w:val="32"/>
                <w:szCs w:val="32"/>
                <w:lang w:eastAsia="en-GB"/>
              </w:rPr>
              <w:t>Careers Education</w:t>
            </w:r>
            <w:r>
              <w:rPr>
                <w:rFonts w:ascii="Arial" w:eastAsia="Times New Roman" w:hAnsi="Arial"/>
                <w:b/>
                <w:kern w:val="32"/>
                <w:sz w:val="32"/>
                <w:szCs w:val="32"/>
                <w:lang w:eastAsia="en-GB"/>
              </w:rPr>
              <w:t>, Information, Advice</w:t>
            </w:r>
            <w:r w:rsidRPr="001826EB">
              <w:rPr>
                <w:rFonts w:ascii="Arial" w:eastAsia="Times New Roman" w:hAnsi="Arial"/>
                <w:b/>
                <w:kern w:val="32"/>
                <w:sz w:val="32"/>
                <w:szCs w:val="32"/>
                <w:lang w:eastAsia="en-GB"/>
              </w:rPr>
              <w:t xml:space="preserve"> and Guidance Policy</w:t>
            </w:r>
          </w:p>
        </w:tc>
      </w:tr>
      <w:tr w:rsidR="001826EB" w:rsidRPr="00AF041A" w14:paraId="54BD31DB" w14:textId="77777777" w:rsidTr="0018435C">
        <w:tc>
          <w:tcPr>
            <w:tcW w:w="2988" w:type="dxa"/>
          </w:tcPr>
          <w:p w14:paraId="550A6F1F" w14:textId="77777777" w:rsidR="001826EB" w:rsidRPr="00AF041A" w:rsidRDefault="001826EB" w:rsidP="0018435C">
            <w:pPr>
              <w:rPr>
                <w:rFonts w:ascii="Arial" w:hAnsi="Arial"/>
                <w:sz w:val="24"/>
                <w:szCs w:val="24"/>
              </w:rPr>
            </w:pPr>
            <w:r w:rsidRPr="00AF041A">
              <w:rPr>
                <w:rFonts w:ascii="Arial" w:hAnsi="Arial"/>
                <w:sz w:val="24"/>
                <w:szCs w:val="24"/>
              </w:rPr>
              <w:t>Policy scope</w:t>
            </w:r>
          </w:p>
        </w:tc>
        <w:tc>
          <w:tcPr>
            <w:tcW w:w="6363" w:type="dxa"/>
          </w:tcPr>
          <w:p w14:paraId="0C55DAF2" w14:textId="77777777" w:rsidR="001826EB" w:rsidRPr="00A37A9C" w:rsidRDefault="001826EB" w:rsidP="0018435C">
            <w:pPr>
              <w:rPr>
                <w:rFonts w:ascii="Arial" w:hAnsi="Arial"/>
                <w:sz w:val="24"/>
                <w:szCs w:val="24"/>
              </w:rPr>
            </w:pPr>
            <w:r w:rsidRPr="00A37A9C">
              <w:rPr>
                <w:rFonts w:ascii="Arial" w:hAnsi="Arial"/>
                <w:sz w:val="24"/>
                <w:szCs w:val="24"/>
              </w:rPr>
              <w:t xml:space="preserve">Sense College Loughborough </w:t>
            </w:r>
          </w:p>
        </w:tc>
      </w:tr>
      <w:tr w:rsidR="001826EB" w:rsidRPr="00AF041A" w14:paraId="0850919F" w14:textId="77777777" w:rsidTr="0018435C">
        <w:tc>
          <w:tcPr>
            <w:tcW w:w="2988" w:type="dxa"/>
          </w:tcPr>
          <w:p w14:paraId="792E8462" w14:textId="77777777" w:rsidR="001826EB" w:rsidRPr="00AF041A" w:rsidRDefault="001826EB" w:rsidP="0018435C">
            <w:pPr>
              <w:rPr>
                <w:rFonts w:ascii="Arial" w:hAnsi="Arial"/>
                <w:sz w:val="24"/>
                <w:szCs w:val="24"/>
              </w:rPr>
            </w:pPr>
            <w:r w:rsidRPr="00AF041A">
              <w:rPr>
                <w:rFonts w:ascii="Arial" w:hAnsi="Arial"/>
                <w:sz w:val="24"/>
                <w:szCs w:val="24"/>
              </w:rPr>
              <w:t>Issue date (m/y)</w:t>
            </w:r>
          </w:p>
        </w:tc>
        <w:tc>
          <w:tcPr>
            <w:tcW w:w="6363" w:type="dxa"/>
          </w:tcPr>
          <w:p w14:paraId="08999E0A" w14:textId="610CB41B" w:rsidR="001826EB" w:rsidRPr="00A37A9C" w:rsidRDefault="001826EB" w:rsidP="0018435C">
            <w:pPr>
              <w:rPr>
                <w:rFonts w:ascii="Arial" w:hAnsi="Arial"/>
                <w:sz w:val="24"/>
                <w:szCs w:val="24"/>
              </w:rPr>
            </w:pPr>
            <w:r w:rsidRPr="00A37A9C">
              <w:rPr>
                <w:rFonts w:ascii="Arial" w:hAnsi="Arial"/>
                <w:sz w:val="24"/>
                <w:szCs w:val="24"/>
              </w:rPr>
              <w:t>August 2023  (initially Oct 2008)</w:t>
            </w:r>
          </w:p>
        </w:tc>
      </w:tr>
      <w:tr w:rsidR="001826EB" w:rsidRPr="00AF041A" w14:paraId="2FA2C4DF" w14:textId="77777777" w:rsidTr="0018435C">
        <w:tc>
          <w:tcPr>
            <w:tcW w:w="2988" w:type="dxa"/>
          </w:tcPr>
          <w:p w14:paraId="15EF25C7" w14:textId="77777777" w:rsidR="001826EB" w:rsidRPr="00AF041A" w:rsidRDefault="001826EB" w:rsidP="0018435C">
            <w:pPr>
              <w:rPr>
                <w:rFonts w:ascii="Arial" w:hAnsi="Arial"/>
                <w:sz w:val="24"/>
                <w:szCs w:val="24"/>
              </w:rPr>
            </w:pPr>
            <w:r w:rsidRPr="00AF041A">
              <w:rPr>
                <w:rFonts w:ascii="Arial" w:hAnsi="Arial"/>
                <w:sz w:val="24"/>
                <w:szCs w:val="24"/>
              </w:rPr>
              <w:t>Owner</w:t>
            </w:r>
          </w:p>
        </w:tc>
        <w:tc>
          <w:tcPr>
            <w:tcW w:w="6363" w:type="dxa"/>
          </w:tcPr>
          <w:p w14:paraId="128912CC" w14:textId="4FF0678F" w:rsidR="001826EB" w:rsidRPr="00A37A9C" w:rsidRDefault="001826EB" w:rsidP="0018435C">
            <w:pPr>
              <w:tabs>
                <w:tab w:val="center" w:pos="4513"/>
                <w:tab w:val="right" w:pos="9026"/>
              </w:tabs>
              <w:spacing w:after="0" w:line="240" w:lineRule="auto"/>
              <w:rPr>
                <w:rFonts w:ascii="Arial" w:hAnsi="Arial"/>
                <w:sz w:val="24"/>
                <w:szCs w:val="24"/>
              </w:rPr>
            </w:pPr>
            <w:r w:rsidRPr="00A37A9C">
              <w:rPr>
                <w:rFonts w:ascii="Arial" w:hAnsi="Arial"/>
                <w:sz w:val="24"/>
                <w:szCs w:val="24"/>
              </w:rPr>
              <w:t>Assistant Principal – Admissions, Engagement and Transitions</w:t>
            </w:r>
          </w:p>
        </w:tc>
      </w:tr>
      <w:tr w:rsidR="001826EB" w:rsidRPr="00AF041A" w14:paraId="3F89AC89" w14:textId="77777777" w:rsidTr="0018435C">
        <w:tc>
          <w:tcPr>
            <w:tcW w:w="2988" w:type="dxa"/>
          </w:tcPr>
          <w:p w14:paraId="126771A9" w14:textId="77777777" w:rsidR="001826EB" w:rsidRPr="00AF041A" w:rsidRDefault="001826EB" w:rsidP="0018435C">
            <w:pPr>
              <w:rPr>
                <w:rFonts w:ascii="Arial" w:hAnsi="Arial"/>
                <w:sz w:val="24"/>
                <w:szCs w:val="24"/>
              </w:rPr>
            </w:pPr>
            <w:r w:rsidRPr="00AF041A">
              <w:rPr>
                <w:rFonts w:ascii="Arial" w:hAnsi="Arial"/>
                <w:sz w:val="24"/>
                <w:szCs w:val="24"/>
              </w:rPr>
              <w:t>Approved by</w:t>
            </w:r>
          </w:p>
        </w:tc>
        <w:tc>
          <w:tcPr>
            <w:tcW w:w="6363" w:type="dxa"/>
          </w:tcPr>
          <w:p w14:paraId="25802149" w14:textId="77777777" w:rsidR="001826EB" w:rsidRPr="00A37A9C" w:rsidRDefault="001826EB" w:rsidP="0018435C">
            <w:pPr>
              <w:rPr>
                <w:rFonts w:ascii="Arial" w:hAnsi="Arial"/>
                <w:sz w:val="24"/>
                <w:szCs w:val="24"/>
              </w:rPr>
            </w:pPr>
          </w:p>
        </w:tc>
      </w:tr>
      <w:tr w:rsidR="001826EB" w:rsidRPr="00AF041A" w14:paraId="3BB9D7CF" w14:textId="77777777" w:rsidTr="0018435C">
        <w:tc>
          <w:tcPr>
            <w:tcW w:w="2988" w:type="dxa"/>
          </w:tcPr>
          <w:p w14:paraId="1FACD465" w14:textId="77777777" w:rsidR="001826EB" w:rsidRPr="00AF041A" w:rsidRDefault="001826EB" w:rsidP="0018435C">
            <w:pPr>
              <w:rPr>
                <w:rFonts w:ascii="Arial" w:hAnsi="Arial"/>
                <w:sz w:val="24"/>
                <w:szCs w:val="24"/>
              </w:rPr>
            </w:pPr>
            <w:r w:rsidRPr="00AF041A">
              <w:rPr>
                <w:rFonts w:ascii="Arial" w:hAnsi="Arial"/>
                <w:sz w:val="24"/>
                <w:szCs w:val="24"/>
              </w:rPr>
              <w:t>Distribution</w:t>
            </w:r>
          </w:p>
        </w:tc>
        <w:tc>
          <w:tcPr>
            <w:tcW w:w="6363" w:type="dxa"/>
          </w:tcPr>
          <w:p w14:paraId="445CEB40" w14:textId="2947B3AD" w:rsidR="001826EB" w:rsidRPr="00A37A9C" w:rsidRDefault="001826EB" w:rsidP="001826EB">
            <w:pPr>
              <w:tabs>
                <w:tab w:val="center" w:pos="4513"/>
                <w:tab w:val="right" w:pos="9026"/>
              </w:tabs>
              <w:spacing w:after="0" w:line="240" w:lineRule="auto"/>
              <w:rPr>
                <w:rFonts w:ascii="Arial" w:hAnsi="Arial"/>
                <w:sz w:val="24"/>
                <w:szCs w:val="24"/>
              </w:rPr>
            </w:pPr>
            <w:r w:rsidRPr="00A37A9C">
              <w:rPr>
                <w:rFonts w:ascii="Arial" w:hAnsi="Arial"/>
                <w:sz w:val="24"/>
                <w:szCs w:val="24"/>
              </w:rPr>
              <w:t>SMT and Team Leaders, added to internet for all stakeholders</w:t>
            </w:r>
          </w:p>
        </w:tc>
      </w:tr>
      <w:tr w:rsidR="001826EB" w:rsidRPr="00AF041A" w14:paraId="160988F0" w14:textId="77777777" w:rsidTr="0018435C">
        <w:tc>
          <w:tcPr>
            <w:tcW w:w="2988" w:type="dxa"/>
          </w:tcPr>
          <w:p w14:paraId="6398E6B4" w14:textId="77777777" w:rsidR="001826EB" w:rsidRPr="00AF041A" w:rsidRDefault="001826EB" w:rsidP="0018435C">
            <w:pPr>
              <w:rPr>
                <w:rFonts w:ascii="Arial" w:hAnsi="Arial"/>
                <w:sz w:val="24"/>
                <w:szCs w:val="24"/>
              </w:rPr>
            </w:pPr>
            <w:r w:rsidRPr="00AF041A">
              <w:rPr>
                <w:rFonts w:ascii="Arial" w:hAnsi="Arial"/>
                <w:sz w:val="24"/>
                <w:szCs w:val="24"/>
              </w:rPr>
              <w:t>Reviewed due</w:t>
            </w:r>
          </w:p>
        </w:tc>
        <w:tc>
          <w:tcPr>
            <w:tcW w:w="6363" w:type="dxa"/>
          </w:tcPr>
          <w:p w14:paraId="7BD784AB" w14:textId="1F8229F7" w:rsidR="001826EB" w:rsidRPr="00A37A9C" w:rsidRDefault="001826EB" w:rsidP="0018435C">
            <w:pPr>
              <w:tabs>
                <w:tab w:val="center" w:pos="4513"/>
                <w:tab w:val="right" w:pos="9026"/>
              </w:tabs>
              <w:spacing w:after="0" w:line="240" w:lineRule="auto"/>
              <w:rPr>
                <w:rFonts w:ascii="Arial" w:hAnsi="Arial"/>
                <w:sz w:val="24"/>
                <w:szCs w:val="24"/>
              </w:rPr>
            </w:pPr>
            <w:r w:rsidRPr="00A37A9C">
              <w:rPr>
                <w:rFonts w:ascii="Arial" w:hAnsi="Arial"/>
                <w:sz w:val="24"/>
                <w:szCs w:val="24"/>
              </w:rPr>
              <w:t>July 2025</w:t>
            </w:r>
          </w:p>
        </w:tc>
      </w:tr>
      <w:tr w:rsidR="001826EB" w:rsidRPr="00AF041A" w14:paraId="08803B94" w14:textId="77777777" w:rsidTr="0018435C">
        <w:tc>
          <w:tcPr>
            <w:tcW w:w="2988" w:type="dxa"/>
          </w:tcPr>
          <w:p w14:paraId="06D7198F" w14:textId="77777777" w:rsidR="001826EB" w:rsidRPr="00AF041A" w:rsidRDefault="001826EB" w:rsidP="0018435C">
            <w:pPr>
              <w:rPr>
                <w:rFonts w:ascii="Arial" w:hAnsi="Arial"/>
                <w:sz w:val="24"/>
                <w:szCs w:val="24"/>
              </w:rPr>
            </w:pPr>
            <w:r w:rsidRPr="00AF041A">
              <w:rPr>
                <w:rFonts w:ascii="Arial" w:hAnsi="Arial"/>
                <w:sz w:val="24"/>
                <w:szCs w:val="24"/>
              </w:rPr>
              <w:t xml:space="preserve">Appendixes </w:t>
            </w:r>
          </w:p>
        </w:tc>
        <w:tc>
          <w:tcPr>
            <w:tcW w:w="6363" w:type="dxa"/>
          </w:tcPr>
          <w:p w14:paraId="04FC4989" w14:textId="04AA7FAD" w:rsidR="001826EB" w:rsidRPr="00A37A9C" w:rsidRDefault="001826EB" w:rsidP="001826EB">
            <w:pPr>
              <w:tabs>
                <w:tab w:val="center" w:pos="4513"/>
                <w:tab w:val="right" w:pos="9026"/>
              </w:tabs>
              <w:spacing w:after="0" w:line="240" w:lineRule="auto"/>
              <w:rPr>
                <w:rFonts w:ascii="Arial" w:hAnsi="Arial"/>
                <w:sz w:val="24"/>
                <w:szCs w:val="24"/>
              </w:rPr>
            </w:pPr>
          </w:p>
          <w:p w14:paraId="5D9DC44A" w14:textId="2457B494" w:rsidR="001826EB" w:rsidRPr="00A37A9C" w:rsidRDefault="001826EB" w:rsidP="0018435C">
            <w:pPr>
              <w:tabs>
                <w:tab w:val="center" w:pos="4513"/>
                <w:tab w:val="right" w:pos="9026"/>
              </w:tabs>
              <w:spacing w:after="0" w:line="240" w:lineRule="auto"/>
              <w:rPr>
                <w:rFonts w:ascii="Arial" w:hAnsi="Arial"/>
                <w:sz w:val="24"/>
                <w:szCs w:val="24"/>
              </w:rPr>
            </w:pPr>
          </w:p>
        </w:tc>
      </w:tr>
    </w:tbl>
    <w:p w14:paraId="776246CC" w14:textId="77777777" w:rsidR="00053CD7" w:rsidRPr="00F34B14" w:rsidRDefault="00053CD7" w:rsidP="00053CD7">
      <w:pPr>
        <w:rPr>
          <w:rFonts w:ascii="Helvetica" w:hAnsi="Helvetica"/>
        </w:rPr>
      </w:pPr>
    </w:p>
    <w:p w14:paraId="1042EBEF" w14:textId="77777777" w:rsidR="00053CD7" w:rsidRPr="00F34B14" w:rsidRDefault="00053CD7" w:rsidP="00053CD7"/>
    <w:p w14:paraId="7261F1FC" w14:textId="677C9ADD" w:rsidR="00053CD7" w:rsidRDefault="00F929D4" w:rsidP="00053CD7">
      <w:r>
        <w:br w:type="column"/>
      </w:r>
    </w:p>
    <w:p w14:paraId="1E8D870D" w14:textId="02DD2C83" w:rsidR="00BA452E" w:rsidRDefault="00F929D4" w:rsidP="006A0770">
      <w:pPr>
        <w:pStyle w:val="Heading1"/>
        <w:numPr>
          <w:ilvl w:val="0"/>
          <w:numId w:val="0"/>
        </w:numPr>
      </w:pPr>
      <w:r>
        <w:t>Appendix A</w:t>
      </w:r>
    </w:p>
    <w:p w14:paraId="7A014034" w14:textId="32AD766E" w:rsidR="00F929D4" w:rsidRDefault="00F929D4" w:rsidP="00F929D4">
      <w:pPr>
        <w:rPr>
          <w:lang w:bidi="ar-SA"/>
        </w:rPr>
      </w:pPr>
    </w:p>
    <w:p w14:paraId="43A51A2D" w14:textId="3825B8B8" w:rsidR="00F929D4" w:rsidRDefault="00F929D4" w:rsidP="00F929D4">
      <w:pPr>
        <w:rPr>
          <w:lang w:bidi="ar-SA"/>
        </w:rPr>
      </w:pPr>
      <w:r>
        <w:rPr>
          <w:noProof/>
          <w:lang w:eastAsia="en-GB" w:bidi="ar-SA"/>
        </w:rPr>
        <w:drawing>
          <wp:inline distT="0" distB="0" distL="0" distR="0" wp14:anchorId="75A3FBDF" wp14:editId="054A4C4F">
            <wp:extent cx="6562725" cy="4922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 Support Programme.jpg"/>
                    <pic:cNvPicPr/>
                  </pic:nvPicPr>
                  <pic:blipFill>
                    <a:blip r:embed="rId12">
                      <a:extLst>
                        <a:ext uri="{28A0092B-C50C-407E-A947-70E740481C1C}">
                          <a14:useLocalDpi xmlns:a14="http://schemas.microsoft.com/office/drawing/2010/main" val="0"/>
                        </a:ext>
                      </a:extLst>
                    </a:blip>
                    <a:stretch>
                      <a:fillRect/>
                    </a:stretch>
                  </pic:blipFill>
                  <pic:spPr>
                    <a:xfrm>
                      <a:off x="0" y="0"/>
                      <a:ext cx="6580554" cy="4935756"/>
                    </a:xfrm>
                    <a:prstGeom prst="rect">
                      <a:avLst/>
                    </a:prstGeom>
                  </pic:spPr>
                </pic:pic>
              </a:graphicData>
            </a:graphic>
          </wp:inline>
        </w:drawing>
      </w:r>
    </w:p>
    <w:p w14:paraId="01EAECE9" w14:textId="63DE340C" w:rsidR="005F341D" w:rsidRDefault="005F341D" w:rsidP="00F929D4">
      <w:pPr>
        <w:rPr>
          <w:lang w:bidi="ar-SA"/>
        </w:rPr>
      </w:pPr>
    </w:p>
    <w:p w14:paraId="5E7FAD6A" w14:textId="50CB8F2A" w:rsidR="005F341D" w:rsidRDefault="005F341D" w:rsidP="00F929D4">
      <w:pPr>
        <w:rPr>
          <w:lang w:bidi="ar-SA"/>
        </w:rPr>
      </w:pPr>
    </w:p>
    <w:p w14:paraId="646C612B" w14:textId="30080CBE" w:rsidR="00B4544D" w:rsidRDefault="00B4544D" w:rsidP="00B4544D">
      <w:pPr>
        <w:pStyle w:val="Heading1"/>
        <w:numPr>
          <w:ilvl w:val="0"/>
          <w:numId w:val="0"/>
        </w:numPr>
      </w:pPr>
      <w:r>
        <w:br w:type="column"/>
      </w:r>
      <w:r w:rsidR="00AA1B16">
        <w:lastRenderedPageBreak/>
        <w:t>Appendix B</w:t>
      </w:r>
    </w:p>
    <w:p w14:paraId="5BE9F25F" w14:textId="62CD5EA8" w:rsidR="00AA1B16" w:rsidRDefault="00AA1B16" w:rsidP="00AA1B16">
      <w:pPr>
        <w:rPr>
          <w:lang w:bidi="ar-SA"/>
        </w:rPr>
      </w:pPr>
    </w:p>
    <w:p w14:paraId="7BB530FD" w14:textId="5ED4241A" w:rsidR="00AA1B16" w:rsidRPr="00AA1B16" w:rsidRDefault="00AA1B16" w:rsidP="00AA1B16">
      <w:pPr>
        <w:pStyle w:val="Heading2"/>
      </w:pPr>
      <w:r>
        <w:t xml:space="preserve">Gatsby Benchmarks and definitions for colleges </w:t>
      </w:r>
    </w:p>
    <w:p w14:paraId="2C401FEE" w14:textId="45E0B7F8" w:rsidR="005F341D" w:rsidRDefault="005F341D" w:rsidP="00F929D4">
      <w:pPr>
        <w:rPr>
          <w:rFonts w:ascii="Arial" w:hAnsi="Arial"/>
          <w:sz w:val="24"/>
          <w:szCs w:val="24"/>
          <w:lang w:bidi="ar-SA"/>
        </w:rPr>
      </w:pPr>
    </w:p>
    <w:tbl>
      <w:tblPr>
        <w:tblStyle w:val="TableGrid"/>
        <w:tblW w:w="0" w:type="auto"/>
        <w:tblLook w:val="04A0" w:firstRow="1" w:lastRow="0" w:firstColumn="1" w:lastColumn="0" w:noHBand="0" w:noVBand="1"/>
      </w:tblPr>
      <w:tblGrid>
        <w:gridCol w:w="1838"/>
        <w:gridCol w:w="2410"/>
        <w:gridCol w:w="5380"/>
      </w:tblGrid>
      <w:tr w:rsidR="00921BE7" w14:paraId="3B0B1E9D" w14:textId="77777777" w:rsidTr="002D0806">
        <w:tc>
          <w:tcPr>
            <w:tcW w:w="1838" w:type="dxa"/>
          </w:tcPr>
          <w:p w14:paraId="36E2F415" w14:textId="15188556" w:rsidR="00921BE7" w:rsidRPr="00AA1B16" w:rsidRDefault="00921BE7" w:rsidP="00F929D4">
            <w:pPr>
              <w:rPr>
                <w:rFonts w:ascii="Arial" w:hAnsi="Arial"/>
                <w:b/>
                <w:sz w:val="24"/>
                <w:szCs w:val="24"/>
                <w:lang w:bidi="ar-SA"/>
              </w:rPr>
            </w:pPr>
            <w:r w:rsidRPr="00AA1B16">
              <w:rPr>
                <w:rFonts w:ascii="Arial" w:hAnsi="Arial"/>
                <w:b/>
                <w:sz w:val="24"/>
                <w:szCs w:val="24"/>
                <w:lang w:bidi="ar-SA"/>
              </w:rPr>
              <w:t>Benchmark 1</w:t>
            </w:r>
          </w:p>
        </w:tc>
        <w:tc>
          <w:tcPr>
            <w:tcW w:w="2410" w:type="dxa"/>
          </w:tcPr>
          <w:p w14:paraId="623B2020" w14:textId="142665CF" w:rsidR="00921BE7" w:rsidRDefault="002D0806" w:rsidP="00F929D4">
            <w:pPr>
              <w:rPr>
                <w:rFonts w:ascii="Arial" w:hAnsi="Arial"/>
                <w:sz w:val="24"/>
                <w:szCs w:val="24"/>
                <w:lang w:bidi="ar-SA"/>
              </w:rPr>
            </w:pPr>
            <w:r>
              <w:rPr>
                <w:rFonts w:ascii="Arial" w:hAnsi="Arial"/>
                <w:sz w:val="24"/>
                <w:szCs w:val="24"/>
                <w:lang w:bidi="ar-SA"/>
              </w:rPr>
              <w:t>A stable careers programme</w:t>
            </w:r>
          </w:p>
        </w:tc>
        <w:tc>
          <w:tcPr>
            <w:tcW w:w="5380" w:type="dxa"/>
          </w:tcPr>
          <w:p w14:paraId="0449F68E" w14:textId="77777777" w:rsidR="002D0806" w:rsidRDefault="002D0806" w:rsidP="00F929D4">
            <w:pPr>
              <w:rPr>
                <w:rFonts w:ascii="Arial" w:hAnsi="Arial"/>
                <w:sz w:val="24"/>
                <w:szCs w:val="24"/>
                <w:lang w:bidi="ar-SA"/>
              </w:rPr>
            </w:pPr>
            <w:r w:rsidRPr="002D0806">
              <w:rPr>
                <w:rFonts w:ascii="Arial" w:hAnsi="Arial"/>
                <w:sz w:val="24"/>
                <w:szCs w:val="24"/>
                <w:lang w:bidi="ar-SA"/>
              </w:rPr>
              <w:t>Every school and college should have an embedded programme of career education and guidance that is known and understood by pupils, parents, teachers and employers.</w:t>
            </w:r>
          </w:p>
          <w:p w14:paraId="1C2E331E" w14:textId="65212460" w:rsidR="002D0806" w:rsidRPr="002D0806" w:rsidRDefault="002D0806" w:rsidP="002355ED">
            <w:pPr>
              <w:pStyle w:val="Bullet1"/>
            </w:pPr>
            <w:r w:rsidRPr="002D0806">
              <w:t>Every college should have a stable, structured careers programme that has the explicit backing of the senior management team, and has an identified and appropriately trained person responsible for it.</w:t>
            </w:r>
          </w:p>
          <w:p w14:paraId="336BCAD6" w14:textId="131162EA" w:rsidR="002D0806" w:rsidRPr="002D0806" w:rsidRDefault="002D0806" w:rsidP="002355ED">
            <w:pPr>
              <w:pStyle w:val="Bullet1"/>
            </w:pPr>
            <w:r w:rsidRPr="002D0806">
              <w:t>The careers programme should be published on the college’s website in a way that enables learners, parents, college staff and employers to access and understand it. The programme should be regularly evaluated, with feedback from learners, parents, college staff and employers as part of the evaluation process.</w:t>
            </w:r>
          </w:p>
          <w:p w14:paraId="114C66A9" w14:textId="4BB143B9" w:rsidR="00921BE7" w:rsidRDefault="00921BE7" w:rsidP="00F929D4">
            <w:pPr>
              <w:rPr>
                <w:rFonts w:ascii="Arial" w:hAnsi="Arial"/>
                <w:sz w:val="24"/>
                <w:szCs w:val="24"/>
                <w:lang w:bidi="ar-SA"/>
              </w:rPr>
            </w:pPr>
          </w:p>
        </w:tc>
      </w:tr>
      <w:tr w:rsidR="00921BE7" w14:paraId="7A409650" w14:textId="77777777" w:rsidTr="002D0806">
        <w:tc>
          <w:tcPr>
            <w:tcW w:w="1838" w:type="dxa"/>
          </w:tcPr>
          <w:p w14:paraId="6899412A" w14:textId="325531AE" w:rsidR="00921BE7" w:rsidRPr="00AA1B16" w:rsidRDefault="00921BE7" w:rsidP="00F929D4">
            <w:pPr>
              <w:rPr>
                <w:rFonts w:ascii="Arial" w:hAnsi="Arial"/>
                <w:b/>
                <w:sz w:val="24"/>
                <w:szCs w:val="24"/>
                <w:lang w:bidi="ar-SA"/>
              </w:rPr>
            </w:pPr>
            <w:r w:rsidRPr="00AA1B16">
              <w:rPr>
                <w:rFonts w:ascii="Arial" w:hAnsi="Arial"/>
                <w:b/>
                <w:sz w:val="24"/>
                <w:szCs w:val="24"/>
                <w:lang w:bidi="ar-SA"/>
              </w:rPr>
              <w:t>Benchmark 2</w:t>
            </w:r>
          </w:p>
        </w:tc>
        <w:tc>
          <w:tcPr>
            <w:tcW w:w="2410" w:type="dxa"/>
          </w:tcPr>
          <w:p w14:paraId="34A22FDF" w14:textId="50E7D312" w:rsidR="00921BE7" w:rsidRDefault="00921BE7" w:rsidP="00F929D4">
            <w:pPr>
              <w:rPr>
                <w:rFonts w:ascii="Arial" w:hAnsi="Arial"/>
                <w:sz w:val="24"/>
                <w:szCs w:val="24"/>
                <w:lang w:bidi="ar-SA"/>
              </w:rPr>
            </w:pPr>
            <w:r>
              <w:rPr>
                <w:rFonts w:ascii="Arial" w:hAnsi="Arial"/>
                <w:sz w:val="24"/>
                <w:szCs w:val="24"/>
                <w:lang w:bidi="ar-SA"/>
              </w:rPr>
              <w:t xml:space="preserve">Learning from career and labour market information </w:t>
            </w:r>
          </w:p>
        </w:tc>
        <w:tc>
          <w:tcPr>
            <w:tcW w:w="5380" w:type="dxa"/>
          </w:tcPr>
          <w:p w14:paraId="527CA149" w14:textId="1FDD23B8" w:rsidR="00606380" w:rsidRPr="00606380" w:rsidRDefault="00606380" w:rsidP="00606380">
            <w:pPr>
              <w:rPr>
                <w:rFonts w:ascii="Arial" w:hAnsi="Arial"/>
                <w:sz w:val="24"/>
                <w:szCs w:val="24"/>
                <w:lang w:bidi="ar-SA"/>
              </w:rPr>
            </w:pPr>
            <w:r>
              <w:rPr>
                <w:rFonts w:ascii="Arial" w:hAnsi="Arial"/>
                <w:sz w:val="24"/>
                <w:szCs w:val="24"/>
                <w:lang w:bidi="ar-SA"/>
              </w:rPr>
              <w:t>Every learner and their parents/carers (where appropriate)</w:t>
            </w:r>
            <w:r w:rsidRPr="00606380">
              <w:rPr>
                <w:rFonts w:ascii="Arial" w:hAnsi="Arial"/>
                <w:sz w:val="24"/>
                <w:szCs w:val="24"/>
                <w:lang w:bidi="ar-SA"/>
              </w:rPr>
              <w:t xml:space="preserve"> should have access to good quality information about future study options and labour market opportunities. They will need the support of an informed adviser to make best use of available information.</w:t>
            </w:r>
          </w:p>
          <w:p w14:paraId="78E8DC09" w14:textId="097E574D" w:rsidR="00606380" w:rsidRDefault="00606380" w:rsidP="002355ED">
            <w:pPr>
              <w:pStyle w:val="Bullet1"/>
            </w:pPr>
            <w:r w:rsidRPr="002355ED">
              <w:t>During their study programme, all learners should access and use information about career paths and the labour market to inform their own decisions on study options.</w:t>
            </w:r>
          </w:p>
          <w:p w14:paraId="414FC843" w14:textId="56BF0327" w:rsidR="00606380" w:rsidRPr="002355ED" w:rsidRDefault="00606380" w:rsidP="002355ED">
            <w:pPr>
              <w:pStyle w:val="Bullet1"/>
            </w:pPr>
            <w:r w:rsidRPr="002355ED">
              <w:t xml:space="preserve">Parents should be encouraged to access and use information about labour markets and </w:t>
            </w:r>
            <w:r w:rsidRPr="002355ED">
              <w:lastRenderedPageBreak/>
              <w:t>future study options to inform their support to the learners in their care.</w:t>
            </w:r>
          </w:p>
          <w:p w14:paraId="4D1358C0" w14:textId="67A57809" w:rsidR="00921BE7" w:rsidRDefault="00921BE7" w:rsidP="00606380">
            <w:pPr>
              <w:spacing w:before="375" w:after="0" w:line="240" w:lineRule="auto"/>
              <w:rPr>
                <w:rFonts w:ascii="Arial" w:hAnsi="Arial"/>
                <w:sz w:val="24"/>
                <w:szCs w:val="24"/>
                <w:lang w:bidi="ar-SA"/>
              </w:rPr>
            </w:pPr>
          </w:p>
        </w:tc>
      </w:tr>
      <w:tr w:rsidR="00921BE7" w14:paraId="7D44B5F8" w14:textId="77777777" w:rsidTr="002D0806">
        <w:tc>
          <w:tcPr>
            <w:tcW w:w="1838" w:type="dxa"/>
          </w:tcPr>
          <w:p w14:paraId="19EA02CF" w14:textId="6014BA5E" w:rsidR="00921BE7" w:rsidRPr="00AA1B16" w:rsidRDefault="00921BE7" w:rsidP="00F929D4">
            <w:pPr>
              <w:rPr>
                <w:rFonts w:ascii="Arial" w:hAnsi="Arial"/>
                <w:b/>
                <w:sz w:val="24"/>
                <w:szCs w:val="24"/>
                <w:lang w:bidi="ar-SA"/>
              </w:rPr>
            </w:pPr>
            <w:r w:rsidRPr="00AA1B16">
              <w:rPr>
                <w:rFonts w:ascii="Arial" w:hAnsi="Arial"/>
                <w:b/>
                <w:sz w:val="24"/>
                <w:szCs w:val="24"/>
                <w:lang w:bidi="ar-SA"/>
              </w:rPr>
              <w:lastRenderedPageBreak/>
              <w:t>Benchmark 3</w:t>
            </w:r>
          </w:p>
        </w:tc>
        <w:tc>
          <w:tcPr>
            <w:tcW w:w="2410" w:type="dxa"/>
          </w:tcPr>
          <w:p w14:paraId="1AD36FBA" w14:textId="4FBE0E1E" w:rsidR="00921BE7" w:rsidRDefault="002355ED" w:rsidP="00F929D4">
            <w:pPr>
              <w:rPr>
                <w:rFonts w:ascii="Arial" w:hAnsi="Arial"/>
                <w:sz w:val="24"/>
                <w:szCs w:val="24"/>
                <w:lang w:bidi="ar-SA"/>
              </w:rPr>
            </w:pPr>
            <w:r>
              <w:rPr>
                <w:rFonts w:ascii="Arial" w:hAnsi="Arial"/>
                <w:sz w:val="24"/>
                <w:szCs w:val="24"/>
                <w:lang w:bidi="ar-SA"/>
              </w:rPr>
              <w:t>Addressing the needs of each pupil</w:t>
            </w:r>
          </w:p>
        </w:tc>
        <w:tc>
          <w:tcPr>
            <w:tcW w:w="5380" w:type="dxa"/>
          </w:tcPr>
          <w:p w14:paraId="609F4DF4" w14:textId="77777777" w:rsidR="002355ED" w:rsidRPr="002355ED" w:rsidRDefault="002355ED" w:rsidP="002355ED">
            <w:pPr>
              <w:rPr>
                <w:rFonts w:ascii="Arial" w:hAnsi="Arial"/>
                <w:sz w:val="24"/>
                <w:szCs w:val="24"/>
                <w:lang w:bidi="ar-SA"/>
              </w:rPr>
            </w:pPr>
            <w:r w:rsidRPr="002355ED">
              <w:rPr>
                <w:rFonts w:ascii="Arial" w:hAnsi="Arial"/>
                <w:sz w:val="24"/>
                <w:szCs w:val="24"/>
                <w:lang w:bidi="ar-SA"/>
              </w:rPr>
              <w:t>Learners have different career guidance needs at different stages.</w:t>
            </w:r>
          </w:p>
          <w:p w14:paraId="5A7E7191" w14:textId="14F41FFF" w:rsidR="002355ED" w:rsidRPr="002355ED" w:rsidRDefault="002355ED" w:rsidP="002355ED">
            <w:pPr>
              <w:rPr>
                <w:rFonts w:ascii="Arial" w:hAnsi="Arial"/>
                <w:sz w:val="24"/>
                <w:szCs w:val="24"/>
              </w:rPr>
            </w:pPr>
            <w:r w:rsidRPr="002355ED">
              <w:rPr>
                <w:rFonts w:ascii="Arial" w:hAnsi="Arial"/>
                <w:sz w:val="24"/>
                <w:szCs w:val="24"/>
              </w:rPr>
              <w:t>Opportunities for advice and support need to be tailored to the needs of each learner. A college’s careers programme should embed equality and diversity considerations throughout.</w:t>
            </w:r>
          </w:p>
          <w:p w14:paraId="4DFD3AE4" w14:textId="77777777" w:rsidR="002355ED" w:rsidRPr="002355ED" w:rsidRDefault="002355ED" w:rsidP="002355ED">
            <w:pPr>
              <w:pStyle w:val="Bullet1"/>
            </w:pPr>
            <w:r w:rsidRPr="002355ED">
              <w:t>A college’s careers programme should actively seek to challenge stereotypical thinking and raise aspirations.</w:t>
            </w:r>
          </w:p>
          <w:p w14:paraId="06C92B20" w14:textId="77777777" w:rsidR="002355ED" w:rsidRPr="002355ED" w:rsidRDefault="002355ED" w:rsidP="002355ED">
            <w:pPr>
              <w:pStyle w:val="Bullet1"/>
            </w:pPr>
            <w:r w:rsidRPr="002355ED">
              <w:t>Colleges should keep systematic records of the individual advice given to each learner, and subsequent agreed decisions.</w:t>
            </w:r>
          </w:p>
          <w:p w14:paraId="6E882C7C" w14:textId="77777777" w:rsidR="002355ED" w:rsidRPr="002355ED" w:rsidRDefault="002355ED" w:rsidP="002355ED">
            <w:pPr>
              <w:pStyle w:val="Bullet1"/>
            </w:pPr>
            <w:r w:rsidRPr="002355ED">
              <w:t>The records of advice given should be integrated with those given at the previous stage of the learner’s education (including their secondary school) where these are made available. Records should begin to be kept from the first point of contact or from the point of transition.</w:t>
            </w:r>
          </w:p>
          <w:p w14:paraId="3C72055E" w14:textId="791F8449" w:rsidR="00921BE7" w:rsidRDefault="002355ED" w:rsidP="002355ED">
            <w:pPr>
              <w:pStyle w:val="Bullet1"/>
            </w:pPr>
            <w:r w:rsidRPr="002355ED">
              <w:t>All learners should have access to these records to support their career development. Colleges should collect and maintain accurate data for each learner on their education, training or employment destinations.</w:t>
            </w:r>
          </w:p>
        </w:tc>
      </w:tr>
      <w:tr w:rsidR="00921BE7" w14:paraId="07027A9C" w14:textId="77777777" w:rsidTr="002D0806">
        <w:tc>
          <w:tcPr>
            <w:tcW w:w="1838" w:type="dxa"/>
          </w:tcPr>
          <w:p w14:paraId="749A7076" w14:textId="294C81D6" w:rsidR="00921BE7" w:rsidRPr="00AA1B16" w:rsidRDefault="00921BE7" w:rsidP="00F929D4">
            <w:pPr>
              <w:rPr>
                <w:rFonts w:ascii="Arial" w:hAnsi="Arial"/>
                <w:b/>
                <w:sz w:val="24"/>
                <w:szCs w:val="24"/>
                <w:lang w:bidi="ar-SA"/>
              </w:rPr>
            </w:pPr>
            <w:r w:rsidRPr="00AA1B16">
              <w:rPr>
                <w:rFonts w:ascii="Arial" w:hAnsi="Arial"/>
                <w:b/>
                <w:sz w:val="24"/>
                <w:szCs w:val="24"/>
                <w:lang w:bidi="ar-SA"/>
              </w:rPr>
              <w:t>Benchmark 4</w:t>
            </w:r>
          </w:p>
        </w:tc>
        <w:tc>
          <w:tcPr>
            <w:tcW w:w="2410" w:type="dxa"/>
          </w:tcPr>
          <w:p w14:paraId="5005EE98" w14:textId="4FF2AAEB" w:rsidR="00921BE7" w:rsidRDefault="002355ED" w:rsidP="00F929D4">
            <w:pPr>
              <w:rPr>
                <w:rFonts w:ascii="Arial" w:hAnsi="Arial"/>
                <w:sz w:val="24"/>
                <w:szCs w:val="24"/>
                <w:lang w:bidi="ar-SA"/>
              </w:rPr>
            </w:pPr>
            <w:r>
              <w:rPr>
                <w:rFonts w:ascii="Arial" w:hAnsi="Arial"/>
                <w:sz w:val="24"/>
                <w:szCs w:val="24"/>
                <w:lang w:bidi="ar-SA"/>
              </w:rPr>
              <w:t>Linking curriculum learning to careers</w:t>
            </w:r>
          </w:p>
        </w:tc>
        <w:tc>
          <w:tcPr>
            <w:tcW w:w="5380" w:type="dxa"/>
          </w:tcPr>
          <w:p w14:paraId="578F5B66" w14:textId="77777777" w:rsidR="002355ED" w:rsidRPr="002355ED" w:rsidRDefault="002355ED" w:rsidP="002355ED">
            <w:pPr>
              <w:rPr>
                <w:rFonts w:ascii="Arial" w:hAnsi="Arial"/>
                <w:sz w:val="24"/>
                <w:szCs w:val="24"/>
                <w:lang w:bidi="ar-SA"/>
              </w:rPr>
            </w:pPr>
            <w:r w:rsidRPr="002355ED">
              <w:rPr>
                <w:rFonts w:ascii="Arial" w:hAnsi="Arial"/>
                <w:sz w:val="24"/>
                <w:szCs w:val="24"/>
                <w:lang w:bidi="ar-SA"/>
              </w:rPr>
              <w:t>All subject staff should link curriculum learning with careers, even on courses which are not specifically occupation-led. For example, STEM subject staff should highlight the relevance of STEM subjects for a wide range of future career paths. Study programmes should also reflect the importance of maths and English as a key expectation from employers.</w:t>
            </w:r>
          </w:p>
          <w:p w14:paraId="31B24082" w14:textId="77777777" w:rsidR="002355ED" w:rsidRPr="002355ED" w:rsidRDefault="002355ED" w:rsidP="002355ED">
            <w:pPr>
              <w:rPr>
                <w:rFonts w:ascii="Arial" w:hAnsi="Arial"/>
                <w:sz w:val="24"/>
                <w:szCs w:val="24"/>
                <w:lang w:bidi="ar-SA"/>
              </w:rPr>
            </w:pPr>
          </w:p>
          <w:p w14:paraId="0E9F0EAB" w14:textId="1E6176A6" w:rsidR="00921BE7" w:rsidRDefault="002355ED" w:rsidP="00EE7451">
            <w:pPr>
              <w:pStyle w:val="Bullet1"/>
            </w:pPr>
            <w:r w:rsidRPr="002355ED">
              <w:t>Throughout their programme of study (and by the end of their course) every learner should have had the opportunity to experience how their subjects help people gain entry to (and be more effective workers within) a wide range of occupations.</w:t>
            </w:r>
          </w:p>
        </w:tc>
      </w:tr>
      <w:tr w:rsidR="00921BE7" w14:paraId="7D7EF19D" w14:textId="77777777" w:rsidTr="002D0806">
        <w:tc>
          <w:tcPr>
            <w:tcW w:w="1838" w:type="dxa"/>
          </w:tcPr>
          <w:p w14:paraId="6C262C58" w14:textId="21603D6A" w:rsidR="00921BE7" w:rsidRPr="00AA1B16" w:rsidRDefault="00921BE7" w:rsidP="00F929D4">
            <w:pPr>
              <w:rPr>
                <w:rFonts w:ascii="Arial" w:hAnsi="Arial"/>
                <w:b/>
                <w:sz w:val="24"/>
                <w:szCs w:val="24"/>
                <w:lang w:bidi="ar-SA"/>
              </w:rPr>
            </w:pPr>
            <w:r w:rsidRPr="00AA1B16">
              <w:rPr>
                <w:rFonts w:ascii="Arial" w:hAnsi="Arial"/>
                <w:b/>
                <w:sz w:val="24"/>
                <w:szCs w:val="24"/>
                <w:lang w:bidi="ar-SA"/>
              </w:rPr>
              <w:lastRenderedPageBreak/>
              <w:t>Benchmark 5</w:t>
            </w:r>
          </w:p>
        </w:tc>
        <w:tc>
          <w:tcPr>
            <w:tcW w:w="2410" w:type="dxa"/>
          </w:tcPr>
          <w:p w14:paraId="052666E7" w14:textId="667CA2FA" w:rsidR="00921BE7" w:rsidRDefault="00EE7451" w:rsidP="00F929D4">
            <w:pPr>
              <w:rPr>
                <w:rFonts w:ascii="Arial" w:hAnsi="Arial"/>
                <w:sz w:val="24"/>
                <w:szCs w:val="24"/>
                <w:lang w:bidi="ar-SA"/>
              </w:rPr>
            </w:pPr>
            <w:r>
              <w:rPr>
                <w:rFonts w:ascii="Arial" w:hAnsi="Arial"/>
                <w:sz w:val="24"/>
                <w:szCs w:val="24"/>
                <w:lang w:bidi="ar-SA"/>
              </w:rPr>
              <w:t>Encounters with employers and employees</w:t>
            </w:r>
          </w:p>
        </w:tc>
        <w:tc>
          <w:tcPr>
            <w:tcW w:w="5380" w:type="dxa"/>
          </w:tcPr>
          <w:p w14:paraId="16309658" w14:textId="77777777" w:rsidR="00EE7451" w:rsidRPr="00EE7451" w:rsidRDefault="00EE7451" w:rsidP="00EE7451">
            <w:pPr>
              <w:rPr>
                <w:rFonts w:ascii="Arial" w:hAnsi="Arial"/>
                <w:sz w:val="24"/>
                <w:szCs w:val="24"/>
                <w:lang w:bidi="ar-SA"/>
              </w:rPr>
            </w:pPr>
            <w:r w:rsidRPr="00EE7451">
              <w:rPr>
                <w:rFonts w:ascii="Arial" w:hAnsi="Arial"/>
                <w:sz w:val="24"/>
                <w:szCs w:val="24"/>
                <w:lang w:bidi="ar-SA"/>
              </w:rPr>
              <w:t>Every learner should have multiple opportunities to learn from employers about work, employment and the skills that are valued in the workplace. This can be through a range of enrichment activities, including visiting speakers, mentoring and enterprise schemes, and should include learners’ own part-time employment where it exists.</w:t>
            </w:r>
          </w:p>
          <w:p w14:paraId="00C79C55" w14:textId="77777777" w:rsidR="00EE7451" w:rsidRPr="00EE7451" w:rsidRDefault="00EE7451" w:rsidP="00EE7451">
            <w:pPr>
              <w:pStyle w:val="Bullet1"/>
            </w:pPr>
            <w:r w:rsidRPr="00EE7451">
              <w:t>Every year, alongside their study programme, learners should participate in at least two meaningful encounters* with an employer. At least one encounter should be delivered through their curriculum area.</w:t>
            </w:r>
          </w:p>
          <w:p w14:paraId="04C50AD3" w14:textId="77777777" w:rsidR="00EE7451" w:rsidRPr="00EE7451" w:rsidRDefault="00EE7451" w:rsidP="00EE7451">
            <w:pPr>
              <w:pStyle w:val="Bullet1"/>
            </w:pPr>
            <w:r w:rsidRPr="00EE7451">
              <w:t>Colleges should record and take account of learners’ own part-time employment and the influence this has had on their development.</w:t>
            </w:r>
          </w:p>
          <w:p w14:paraId="2D46502F" w14:textId="163CFEFF" w:rsidR="00921BE7" w:rsidRDefault="00EE7451" w:rsidP="00EE7451">
            <w:pPr>
              <w:rPr>
                <w:rFonts w:ascii="Arial" w:hAnsi="Arial"/>
                <w:sz w:val="24"/>
                <w:szCs w:val="24"/>
                <w:lang w:bidi="ar-SA"/>
              </w:rPr>
            </w:pPr>
            <w:r w:rsidRPr="00EE7451">
              <w:rPr>
                <w:rFonts w:ascii="Arial" w:hAnsi="Arial"/>
                <w:sz w:val="24"/>
                <w:szCs w:val="24"/>
                <w:lang w:bidi="ar-SA"/>
              </w:rPr>
              <w:t>* A ‘meaningful’ encounter is one in which the student has an opportunity to learn about what work is like or what it takes to be successful in the workplace.</w:t>
            </w:r>
          </w:p>
        </w:tc>
      </w:tr>
      <w:tr w:rsidR="00921BE7" w14:paraId="3CC4CAFE" w14:textId="77777777" w:rsidTr="002D0806">
        <w:tc>
          <w:tcPr>
            <w:tcW w:w="1838" w:type="dxa"/>
          </w:tcPr>
          <w:p w14:paraId="2FBD6BF9" w14:textId="56210E20" w:rsidR="00921BE7" w:rsidRPr="00AA1B16" w:rsidRDefault="007801E0" w:rsidP="00F929D4">
            <w:pPr>
              <w:rPr>
                <w:rFonts w:ascii="Arial" w:hAnsi="Arial"/>
                <w:b/>
                <w:sz w:val="24"/>
                <w:szCs w:val="24"/>
                <w:lang w:bidi="ar-SA"/>
              </w:rPr>
            </w:pPr>
            <w:r w:rsidRPr="00AA1B16">
              <w:rPr>
                <w:rFonts w:ascii="Arial" w:hAnsi="Arial"/>
                <w:b/>
                <w:sz w:val="24"/>
                <w:szCs w:val="24"/>
                <w:lang w:bidi="ar-SA"/>
              </w:rPr>
              <w:t>Benchmark 6</w:t>
            </w:r>
          </w:p>
        </w:tc>
        <w:tc>
          <w:tcPr>
            <w:tcW w:w="2410" w:type="dxa"/>
          </w:tcPr>
          <w:p w14:paraId="0A080C60" w14:textId="750091C4" w:rsidR="00921BE7" w:rsidRDefault="007801E0" w:rsidP="00F929D4">
            <w:pPr>
              <w:rPr>
                <w:rFonts w:ascii="Arial" w:hAnsi="Arial"/>
                <w:sz w:val="24"/>
                <w:szCs w:val="24"/>
                <w:lang w:bidi="ar-SA"/>
              </w:rPr>
            </w:pPr>
            <w:r>
              <w:rPr>
                <w:rFonts w:ascii="Arial" w:hAnsi="Arial"/>
                <w:sz w:val="24"/>
                <w:szCs w:val="24"/>
                <w:lang w:bidi="ar-SA"/>
              </w:rPr>
              <w:t>Experiences of workplaces</w:t>
            </w:r>
          </w:p>
        </w:tc>
        <w:tc>
          <w:tcPr>
            <w:tcW w:w="5380" w:type="dxa"/>
          </w:tcPr>
          <w:p w14:paraId="309A8C2A" w14:textId="77777777" w:rsidR="007801E0" w:rsidRPr="007801E0" w:rsidRDefault="007801E0" w:rsidP="007801E0">
            <w:pPr>
              <w:rPr>
                <w:rFonts w:ascii="Arial" w:hAnsi="Arial"/>
                <w:sz w:val="24"/>
                <w:szCs w:val="24"/>
                <w:lang w:bidi="ar-SA"/>
              </w:rPr>
            </w:pPr>
            <w:r w:rsidRPr="007801E0">
              <w:rPr>
                <w:rFonts w:ascii="Arial" w:hAnsi="Arial"/>
                <w:sz w:val="24"/>
                <w:szCs w:val="24"/>
                <w:lang w:bidi="ar-SA"/>
              </w:rPr>
              <w:t>Every learner should have first-hand experiences of the workplace through work visits, work shadowing and/or work experience to help their exploration of career opportunities, and expand their networks.</w:t>
            </w:r>
          </w:p>
          <w:p w14:paraId="71CF678F" w14:textId="15D7FF83" w:rsidR="00921BE7" w:rsidRDefault="007801E0" w:rsidP="007801E0">
            <w:pPr>
              <w:pStyle w:val="Bullet1"/>
            </w:pPr>
            <w:r w:rsidRPr="007801E0">
              <w:t>By the end of their study programme, every learner should have had at least one experience of a workplace, additional to any part-time jobs they may have.</w:t>
            </w:r>
          </w:p>
        </w:tc>
      </w:tr>
      <w:tr w:rsidR="00921BE7" w14:paraId="0C068ED3" w14:textId="77777777" w:rsidTr="002D0806">
        <w:tc>
          <w:tcPr>
            <w:tcW w:w="1838" w:type="dxa"/>
          </w:tcPr>
          <w:p w14:paraId="6560B021" w14:textId="031E00E0" w:rsidR="00921BE7" w:rsidRPr="00AA1B16" w:rsidRDefault="00713051" w:rsidP="00F929D4">
            <w:pPr>
              <w:rPr>
                <w:rFonts w:ascii="Arial" w:hAnsi="Arial"/>
                <w:b/>
                <w:sz w:val="24"/>
                <w:szCs w:val="24"/>
                <w:lang w:bidi="ar-SA"/>
              </w:rPr>
            </w:pPr>
            <w:r w:rsidRPr="00AA1B16">
              <w:rPr>
                <w:rFonts w:ascii="Arial" w:hAnsi="Arial"/>
                <w:b/>
                <w:sz w:val="24"/>
                <w:szCs w:val="24"/>
                <w:lang w:bidi="ar-SA"/>
              </w:rPr>
              <w:lastRenderedPageBreak/>
              <w:t>Benchmark 7</w:t>
            </w:r>
          </w:p>
        </w:tc>
        <w:tc>
          <w:tcPr>
            <w:tcW w:w="2410" w:type="dxa"/>
          </w:tcPr>
          <w:p w14:paraId="64AC376E" w14:textId="64FE3916" w:rsidR="00921BE7" w:rsidRDefault="00713051" w:rsidP="00F929D4">
            <w:pPr>
              <w:rPr>
                <w:rFonts w:ascii="Arial" w:hAnsi="Arial"/>
                <w:sz w:val="24"/>
                <w:szCs w:val="24"/>
                <w:lang w:bidi="ar-SA"/>
              </w:rPr>
            </w:pPr>
            <w:r>
              <w:rPr>
                <w:rFonts w:ascii="Arial" w:hAnsi="Arial"/>
                <w:sz w:val="24"/>
                <w:szCs w:val="24"/>
                <w:lang w:bidi="ar-SA"/>
              </w:rPr>
              <w:t xml:space="preserve">Encounters with Further and Higher Education </w:t>
            </w:r>
          </w:p>
        </w:tc>
        <w:tc>
          <w:tcPr>
            <w:tcW w:w="5380" w:type="dxa"/>
          </w:tcPr>
          <w:p w14:paraId="26C07219" w14:textId="77777777" w:rsidR="00713051" w:rsidRDefault="00713051" w:rsidP="00F929D4">
            <w:pPr>
              <w:rPr>
                <w:rFonts w:ascii="Arial" w:hAnsi="Arial"/>
                <w:sz w:val="24"/>
                <w:szCs w:val="24"/>
                <w:lang w:bidi="ar-SA"/>
              </w:rPr>
            </w:pPr>
            <w:r w:rsidRPr="00713051">
              <w:rPr>
                <w:rFonts w:ascii="Arial" w:hAnsi="Arial"/>
                <w:sz w:val="24"/>
                <w:szCs w:val="24"/>
                <w:lang w:bidi="ar-SA"/>
              </w:rPr>
              <w:t>All pupils/learners should understand the full range of learning opportunities that are available to them. This includes both academic and technical and vocational routes and learning in schools, colleges, universities and in the workplace.</w:t>
            </w:r>
          </w:p>
          <w:p w14:paraId="2017CCAD" w14:textId="77777777" w:rsidR="00713051" w:rsidRPr="00713051" w:rsidRDefault="00713051" w:rsidP="00713051">
            <w:pPr>
              <w:pStyle w:val="Bullet1"/>
            </w:pPr>
            <w:r w:rsidRPr="00713051">
              <w:t>By the end of their programme of study, every learner should have had a meaningful encounter* with a range of providers of learning and training that may form the next stage of their career. This should include, as appropriate, further education colleges, higher education and apprenticeship and training providers. This should include the opportunity to meet both staff and learners.</w:t>
            </w:r>
          </w:p>
          <w:p w14:paraId="3DD769E7" w14:textId="4C13BF52" w:rsidR="00921BE7" w:rsidRDefault="00713051" w:rsidP="00713051">
            <w:pPr>
              <w:rPr>
                <w:rFonts w:ascii="Arial" w:hAnsi="Arial"/>
                <w:sz w:val="24"/>
                <w:szCs w:val="24"/>
                <w:lang w:bidi="ar-SA"/>
              </w:rPr>
            </w:pPr>
            <w:r w:rsidRPr="00713051">
              <w:rPr>
                <w:rFonts w:ascii="Arial" w:hAnsi="Arial"/>
                <w:sz w:val="24"/>
                <w:szCs w:val="24"/>
                <w:lang w:bidi="ar-SA"/>
              </w:rPr>
              <w:t>* A ‘meaningful’ encounter is one in which the student has an opportunity to explore what it’s like to learn in that environment.</w:t>
            </w:r>
          </w:p>
        </w:tc>
      </w:tr>
      <w:tr w:rsidR="00921BE7" w14:paraId="233995C0" w14:textId="77777777" w:rsidTr="002D0806">
        <w:tc>
          <w:tcPr>
            <w:tcW w:w="1838" w:type="dxa"/>
          </w:tcPr>
          <w:p w14:paraId="65ACEE7B" w14:textId="671ACA6A" w:rsidR="00921BE7" w:rsidRPr="00AA1B16" w:rsidRDefault="00393ECA" w:rsidP="00F929D4">
            <w:pPr>
              <w:rPr>
                <w:rFonts w:ascii="Arial" w:hAnsi="Arial"/>
                <w:b/>
                <w:sz w:val="24"/>
                <w:szCs w:val="24"/>
                <w:lang w:bidi="ar-SA"/>
              </w:rPr>
            </w:pPr>
            <w:r w:rsidRPr="00AA1B16">
              <w:rPr>
                <w:rFonts w:ascii="Arial" w:hAnsi="Arial"/>
                <w:b/>
                <w:sz w:val="24"/>
                <w:szCs w:val="24"/>
                <w:lang w:bidi="ar-SA"/>
              </w:rPr>
              <w:t>Benchmark 8</w:t>
            </w:r>
          </w:p>
        </w:tc>
        <w:tc>
          <w:tcPr>
            <w:tcW w:w="2410" w:type="dxa"/>
          </w:tcPr>
          <w:p w14:paraId="72A1E833" w14:textId="0F30CDF9" w:rsidR="00921BE7" w:rsidRDefault="00393ECA" w:rsidP="00F929D4">
            <w:pPr>
              <w:rPr>
                <w:rFonts w:ascii="Arial" w:hAnsi="Arial"/>
                <w:sz w:val="24"/>
                <w:szCs w:val="24"/>
                <w:lang w:bidi="ar-SA"/>
              </w:rPr>
            </w:pPr>
            <w:r>
              <w:rPr>
                <w:rFonts w:ascii="Arial" w:hAnsi="Arial"/>
                <w:sz w:val="24"/>
                <w:szCs w:val="24"/>
                <w:lang w:bidi="ar-SA"/>
              </w:rPr>
              <w:t xml:space="preserve">Personal Guidance </w:t>
            </w:r>
          </w:p>
        </w:tc>
        <w:tc>
          <w:tcPr>
            <w:tcW w:w="5380" w:type="dxa"/>
          </w:tcPr>
          <w:p w14:paraId="77460D78" w14:textId="77777777" w:rsidR="00393ECA" w:rsidRPr="00393ECA" w:rsidRDefault="00393ECA" w:rsidP="00393ECA">
            <w:pPr>
              <w:rPr>
                <w:rFonts w:ascii="Arial" w:hAnsi="Arial"/>
                <w:sz w:val="24"/>
                <w:szCs w:val="24"/>
                <w:lang w:bidi="ar-SA"/>
              </w:rPr>
            </w:pPr>
            <w:r w:rsidRPr="00393ECA">
              <w:rPr>
                <w:rFonts w:ascii="Arial" w:hAnsi="Arial"/>
                <w:sz w:val="24"/>
                <w:szCs w:val="24"/>
                <w:lang w:bidi="ar-SA"/>
              </w:rPr>
              <w:t>Every learner should have opportunities for guidance interviews with a careers adviser, who could be internal (a member of college staff) or external, provided they are trained to an appropriate level.* These should be available for all learners whenever significant study or career choices are being made. They should be expected for all learners, but should be timed to meet individual needs.</w:t>
            </w:r>
          </w:p>
          <w:p w14:paraId="1B4875E6" w14:textId="4E1AEADA" w:rsidR="00393ECA" w:rsidRPr="00393ECA" w:rsidRDefault="00393ECA" w:rsidP="00393ECA">
            <w:pPr>
              <w:pStyle w:val="Bullet1"/>
            </w:pPr>
            <w:r w:rsidRPr="00393ECA">
              <w:t>Every learner should have at least one such interview by the end of their study programme.</w:t>
            </w:r>
          </w:p>
          <w:p w14:paraId="4855EB88" w14:textId="45DFBBD7" w:rsidR="00921BE7" w:rsidRDefault="00393ECA" w:rsidP="00393ECA">
            <w:pPr>
              <w:rPr>
                <w:rFonts w:ascii="Arial" w:hAnsi="Arial"/>
                <w:sz w:val="24"/>
                <w:szCs w:val="24"/>
                <w:lang w:bidi="ar-SA"/>
              </w:rPr>
            </w:pPr>
            <w:r w:rsidRPr="00393ECA">
              <w:rPr>
                <w:rFonts w:ascii="Arial" w:hAnsi="Arial"/>
                <w:sz w:val="24"/>
                <w:szCs w:val="24"/>
                <w:lang w:bidi="ar-SA"/>
              </w:rPr>
              <w:t>*The college should ensure that access to a level 6 adviser is available when needed.</w:t>
            </w:r>
          </w:p>
        </w:tc>
      </w:tr>
    </w:tbl>
    <w:p w14:paraId="58FE6C20" w14:textId="77777777" w:rsidR="00B4544D" w:rsidRPr="00B4544D" w:rsidRDefault="00B4544D" w:rsidP="00F929D4">
      <w:pPr>
        <w:rPr>
          <w:rFonts w:ascii="Arial" w:hAnsi="Arial"/>
          <w:sz w:val="24"/>
          <w:szCs w:val="24"/>
          <w:lang w:bidi="ar-SA"/>
        </w:rPr>
      </w:pPr>
    </w:p>
    <w:p w14:paraId="78A0DDF5" w14:textId="025E859F" w:rsidR="00B4544D" w:rsidRDefault="00B4544D" w:rsidP="00F929D4">
      <w:pPr>
        <w:rPr>
          <w:lang w:bidi="ar-SA"/>
        </w:rPr>
      </w:pPr>
    </w:p>
    <w:p w14:paraId="7F38E80B" w14:textId="77777777" w:rsidR="00B4544D" w:rsidRDefault="00B4544D" w:rsidP="00F929D4">
      <w:pPr>
        <w:rPr>
          <w:lang w:bidi="ar-SA"/>
        </w:rPr>
      </w:pPr>
    </w:p>
    <w:p w14:paraId="2E324DBC" w14:textId="77777777" w:rsidR="005F341D" w:rsidRPr="00F929D4" w:rsidRDefault="005F341D" w:rsidP="00F929D4">
      <w:pPr>
        <w:rPr>
          <w:lang w:bidi="ar-SA"/>
        </w:rPr>
      </w:pPr>
    </w:p>
    <w:sectPr w:rsidR="005F341D" w:rsidRPr="00F929D4" w:rsidSect="00AA1B16">
      <w:footerReference w:type="default" r:id="rId13"/>
      <w:pgSz w:w="11906" w:h="16838" w:code="9"/>
      <w:pgMar w:top="709" w:right="707" w:bottom="1701" w:left="851"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E5C7" w14:textId="77777777" w:rsidR="00E65A4A" w:rsidRDefault="00E65A4A" w:rsidP="0000661D">
      <w:pPr>
        <w:spacing w:line="240" w:lineRule="auto"/>
      </w:pPr>
      <w:r>
        <w:separator/>
      </w:r>
    </w:p>
    <w:p w14:paraId="698ACCF2" w14:textId="77777777" w:rsidR="00E65A4A" w:rsidRDefault="00E65A4A"/>
  </w:endnote>
  <w:endnote w:type="continuationSeparator" w:id="0">
    <w:p w14:paraId="5412EE2F" w14:textId="77777777" w:rsidR="00E65A4A" w:rsidRDefault="00E65A4A" w:rsidP="0000661D">
      <w:pPr>
        <w:spacing w:line="240" w:lineRule="auto"/>
      </w:pPr>
      <w:r>
        <w:continuationSeparator/>
      </w:r>
    </w:p>
    <w:p w14:paraId="75487177" w14:textId="77777777" w:rsidR="00E65A4A" w:rsidRDefault="00E6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Clear"/>
      <w:tblW w:w="5000" w:type="pct"/>
      <w:tblLayout w:type="fixed"/>
      <w:tblCellMar>
        <w:left w:w="0" w:type="dxa"/>
        <w:right w:w="0" w:type="dxa"/>
      </w:tblCellMar>
      <w:tblLook w:val="04A0" w:firstRow="1" w:lastRow="0" w:firstColumn="1" w:lastColumn="0" w:noHBand="0" w:noVBand="1"/>
    </w:tblPr>
    <w:tblGrid>
      <w:gridCol w:w="5174"/>
      <w:gridCol w:w="5174"/>
    </w:tblGrid>
    <w:tr w:rsidR="007759B2" w14:paraId="78A13190" w14:textId="77777777" w:rsidTr="00F60370">
      <w:trPr>
        <w:cantSplit/>
      </w:trPr>
      <w:tc>
        <w:tcPr>
          <w:tcW w:w="4819" w:type="dxa"/>
        </w:tcPr>
        <w:p w14:paraId="662331C3" w14:textId="6801A76C" w:rsidR="007759B2" w:rsidRDefault="007759B2" w:rsidP="007759B2">
          <w:pPr>
            <w:pStyle w:val="Footer"/>
            <w:tabs>
              <w:tab w:val="right" w:pos="9638"/>
            </w:tabs>
          </w:pPr>
          <w:r w:rsidRPr="00E83C7D">
            <w:fldChar w:fldCharType="begin"/>
          </w:r>
          <w:r w:rsidRPr="00E83C7D">
            <w:instrText xml:space="preserve"> IF </w:instrText>
          </w:r>
          <w:r>
            <w:instrText>"</w:instrText>
          </w:r>
          <w:r w:rsidR="009230CA">
            <w:fldChar w:fldCharType="begin"/>
          </w:r>
          <w:r w:rsidR="009230CA">
            <w:instrText xml:space="preserve"> STYLEREF  ~DocDate  </w:instrText>
          </w:r>
          <w:r w:rsidR="009230CA">
            <w:fldChar w:fldCharType="separate"/>
          </w:r>
          <w:r w:rsidR="00974452">
            <w:rPr>
              <w:b/>
              <w:bCs/>
              <w:noProof/>
              <w:lang w:val="en-US"/>
            </w:rPr>
            <w:instrText>Error! No text of specified style in document.</w:instrText>
          </w:r>
          <w:r w:rsidR="009230CA">
            <w:rPr>
              <w:noProof/>
            </w:rPr>
            <w:fldChar w:fldCharType="end"/>
          </w:r>
          <w:r>
            <w:rPr>
              <w:noProof/>
            </w:rPr>
            <w:instrText>"</w:instrText>
          </w:r>
          <w:r w:rsidRPr="00E83C7D">
            <w:instrText xml:space="preserve"> = "</w:instrText>
          </w:r>
          <w:r>
            <w:instrText>Error*</w:instrText>
          </w:r>
          <w:r w:rsidRPr="00E83C7D">
            <w:instrText>" "" "</w:instrText>
          </w:r>
          <w:fldSimple w:instr=" STYLEREF  ~DocDate  ">
            <w:r w:rsidR="00E65A4A">
              <w:rPr>
                <w:noProof/>
              </w:rPr>
              <w:instrText>Insertdate</w:instrText>
            </w:r>
          </w:fldSimple>
          <w:r w:rsidRPr="00E83C7D">
            <w:instrText xml:space="preserve">" </w:instrText>
          </w:r>
          <w:r w:rsidRPr="00E83C7D">
            <w:fldChar w:fldCharType="end"/>
          </w:r>
        </w:p>
      </w:tc>
      <w:tc>
        <w:tcPr>
          <w:tcW w:w="4819" w:type="dxa"/>
        </w:tcPr>
        <w:p w14:paraId="6F38FF25" w14:textId="5DC0FB22"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974452">
            <w:rPr>
              <w:b/>
              <w:noProof/>
            </w:rPr>
            <w:t>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974452">
            <w:rPr>
              <w:b/>
              <w:noProof/>
            </w:rPr>
            <w:t>11</w:t>
          </w:r>
          <w:r w:rsidRPr="00222B70">
            <w:rPr>
              <w:b/>
              <w:noProof/>
            </w:rPr>
            <w:fldChar w:fldCharType="end"/>
          </w:r>
        </w:p>
      </w:tc>
    </w:tr>
  </w:tbl>
  <w:p w14:paraId="5AF75CB8" w14:textId="77777777" w:rsidR="00102FCD" w:rsidRPr="007759B2" w:rsidRDefault="00102FCD" w:rsidP="00775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D09C1" w14:textId="77777777" w:rsidR="00E65A4A" w:rsidRPr="00C214E1" w:rsidRDefault="00E65A4A" w:rsidP="00C214E1">
      <w:pPr>
        <w:pStyle w:val="NoSpacing"/>
        <w:rPr>
          <w:color w:val="888B8D" w:themeColor="text2"/>
        </w:rPr>
      </w:pPr>
      <w:r w:rsidRPr="00C214E1">
        <w:rPr>
          <w:color w:val="888B8D" w:themeColor="text2"/>
        </w:rPr>
        <w:separator/>
      </w:r>
    </w:p>
  </w:footnote>
  <w:footnote w:type="continuationSeparator" w:id="0">
    <w:p w14:paraId="4547B68C" w14:textId="77777777" w:rsidR="00E65A4A" w:rsidRPr="00C214E1" w:rsidRDefault="00E65A4A" w:rsidP="00C214E1">
      <w:pPr>
        <w:pStyle w:val="NoSpacing"/>
        <w:rPr>
          <w:color w:val="888B8D" w:themeColor="text2"/>
        </w:rPr>
      </w:pPr>
      <w:r w:rsidRPr="00C214E1">
        <w:rPr>
          <w:color w:val="888B8D" w:themeColor="text2"/>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95C"/>
    <w:multiLevelType w:val="hybridMultilevel"/>
    <w:tmpl w:val="69E4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7CD"/>
    <w:multiLevelType w:val="hybridMultilevel"/>
    <w:tmpl w:val="9FAE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A2355"/>
    <w:multiLevelType w:val="hybridMultilevel"/>
    <w:tmpl w:val="1A441170"/>
    <w:lvl w:ilvl="0" w:tplc="C28CE5E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8608B"/>
    <w:multiLevelType w:val="multilevel"/>
    <w:tmpl w:val="66A07322"/>
    <w:lvl w:ilvl="0">
      <w:start w:val="1"/>
      <w:numFmt w:val="decimal"/>
      <w:lvlText w:val="%1."/>
      <w:lvlJc w:val="left"/>
      <w:pPr>
        <w:tabs>
          <w:tab w:val="num" w:pos="340"/>
        </w:tabs>
        <w:ind w:left="340" w:hanging="340"/>
      </w:pPr>
      <w:rPr>
        <w:rFonts w:hint="default"/>
        <w:color w:val="E57200" w:themeColor="accent2"/>
      </w:rPr>
    </w:lvl>
    <w:lvl w:ilvl="1">
      <w:start w:val="1"/>
      <w:numFmt w:val="lowerLetter"/>
      <w:lvlText w:val="%2."/>
      <w:lvlJc w:val="left"/>
      <w:pPr>
        <w:tabs>
          <w:tab w:val="num" w:pos="680"/>
        </w:tabs>
        <w:ind w:left="680" w:hanging="340"/>
      </w:pPr>
      <w:rPr>
        <w:rFonts w:hint="default"/>
        <w:color w:val="E57200" w:themeColor="accent2"/>
      </w:rPr>
    </w:lvl>
    <w:lvl w:ilvl="2">
      <w:start w:val="1"/>
      <w:numFmt w:val="lowerRoman"/>
      <w:lvlText w:val="%3."/>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F544564"/>
    <w:multiLevelType w:val="hybridMultilevel"/>
    <w:tmpl w:val="A7620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13B67"/>
    <w:multiLevelType w:val="multilevel"/>
    <w:tmpl w:val="0C52EEA2"/>
    <w:lvl w:ilvl="0">
      <w:start w:val="1"/>
      <w:numFmt w:val="none"/>
      <w:lvlRestart w:val="0"/>
      <w:isLgl/>
      <w:suff w:val="space"/>
      <w:lvlText w:val=""/>
      <w:lvlJc w:val="left"/>
      <w:pPr>
        <w:ind w:left="0" w:firstLine="0"/>
      </w:pPr>
      <w:rPr>
        <w:rFonts w:hint="default"/>
      </w:rPr>
    </w:lvl>
    <w:lvl w:ilvl="1">
      <w:start w:val="1"/>
      <w:numFmt w:val="decimal"/>
      <w:isLgl/>
      <w:suff w:val="space"/>
      <w:lvlText w:val="%1"/>
      <w:lvlJc w:val="left"/>
      <w:pPr>
        <w:ind w:left="0" w:firstLine="0"/>
      </w:pPr>
      <w:rPr>
        <w:rFonts w:hint="default"/>
      </w:rPr>
    </w:lvl>
    <w:lvl w:ilvl="2">
      <w:start w:val="1"/>
      <w:numFmt w:val="decimal"/>
      <w:isLgl/>
      <w:suff w:val="space"/>
      <w:lvlText w:val="%1"/>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6" w15:restartNumberingAfterBreak="0">
    <w:nsid w:val="280876C5"/>
    <w:multiLevelType w:val="multilevel"/>
    <w:tmpl w:val="FAF67472"/>
    <w:lvl w:ilvl="0">
      <w:start w:val="1"/>
      <w:numFmt w:val="decimal"/>
      <w:lvlRestart w:val="0"/>
      <w:isLgl/>
      <w:suff w:val="space"/>
      <w:lvlText w:val="%1.0"/>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7" w15:restartNumberingAfterBreak="0">
    <w:nsid w:val="28700F5D"/>
    <w:multiLevelType w:val="multilevel"/>
    <w:tmpl w:val="31B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87AE2"/>
    <w:multiLevelType w:val="multilevel"/>
    <w:tmpl w:val="E8D027B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none)" w:hAnsi="(none)" w:hint="default"/>
      </w:rPr>
    </w:lvl>
    <w:lvl w:ilvl="2">
      <w:start w:val="1"/>
      <w:numFmt w:val="bullet"/>
      <w:lvlText w:val="–"/>
      <w:lvlJc w:val="left"/>
      <w:pPr>
        <w:tabs>
          <w:tab w:val="num" w:pos="1021"/>
        </w:tabs>
        <w:ind w:left="1021" w:hanging="341"/>
      </w:pPr>
      <w:rPr>
        <w:rFonts w:ascii="(none)" w:hAnsi="(none)"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03357B3"/>
    <w:multiLevelType w:val="multilevel"/>
    <w:tmpl w:val="4A66ACEE"/>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D692602"/>
    <w:multiLevelType w:val="hybridMultilevel"/>
    <w:tmpl w:val="A196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B429C"/>
    <w:multiLevelType w:val="multilevel"/>
    <w:tmpl w:val="ED989C4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43333A27"/>
    <w:multiLevelType w:val="hybridMultilevel"/>
    <w:tmpl w:val="04C8CA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CD24ED3"/>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F8D22F0"/>
    <w:multiLevelType w:val="multilevel"/>
    <w:tmpl w:val="88BE848E"/>
    <w:lvl w:ilvl="0">
      <w:start w:val="1"/>
      <w:numFmt w:val="bullet"/>
      <w:lvlText w:val=""/>
      <w:lvlJc w:val="left"/>
      <w:pPr>
        <w:tabs>
          <w:tab w:val="num" w:pos="170"/>
        </w:tabs>
        <w:ind w:left="170" w:hanging="170"/>
      </w:pPr>
      <w:rPr>
        <w:rFonts w:ascii="Symbol" w:hAnsi="Symbol" w:hint="default"/>
      </w:rPr>
    </w:lvl>
    <w:lvl w:ilvl="1">
      <w:start w:val="1"/>
      <w:numFmt w:val="bullet"/>
      <w:lvlText w:val="–"/>
      <w:lvlJc w:val="left"/>
      <w:pPr>
        <w:tabs>
          <w:tab w:val="num" w:pos="340"/>
        </w:tabs>
        <w:ind w:left="340" w:hanging="170"/>
      </w:pPr>
      <w:rPr>
        <w:rFonts w:hint="default"/>
        <w:color w:val="653279" w:themeColor="accent1"/>
      </w:rPr>
    </w:lvl>
    <w:lvl w:ilvl="2">
      <w:start w:val="1"/>
      <w:numFmt w:val="bullet"/>
      <w:lvlText w:val="–"/>
      <w:lvlJc w:val="left"/>
      <w:pPr>
        <w:tabs>
          <w:tab w:val="num" w:pos="510"/>
        </w:tabs>
        <w:ind w:left="510" w:hanging="170"/>
      </w:pPr>
      <w:rPr>
        <w:rFonts w:hint="default"/>
        <w:color w:val="653279"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6"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3901A2"/>
    <w:multiLevelType w:val="multilevel"/>
    <w:tmpl w:val="C4A8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9" w15:restartNumberingAfterBreak="0">
    <w:nsid w:val="5F3B2E54"/>
    <w:multiLevelType w:val="multilevel"/>
    <w:tmpl w:val="73C24F9A"/>
    <w:lvl w:ilvl="0">
      <w:numFmt w:val="bullet"/>
      <w:lvlText w:val=""/>
      <w:lvlJc w:val="left"/>
      <w:pPr>
        <w:tabs>
          <w:tab w:val="num" w:pos="340"/>
        </w:tabs>
        <w:ind w:left="340" w:hanging="340"/>
      </w:pPr>
      <w:rPr>
        <w:rFonts w:ascii="Symbol" w:hAnsi="Symbol" w:hint="default"/>
        <w:color w:val="E57200" w:themeColor="accent2"/>
      </w:rPr>
    </w:lvl>
    <w:lvl w:ilvl="1">
      <w:numFmt w:val="bullet"/>
      <w:lvlText w:val="–"/>
      <w:lvlJc w:val="left"/>
      <w:pPr>
        <w:tabs>
          <w:tab w:val="num" w:pos="680"/>
        </w:tabs>
        <w:ind w:left="680" w:hanging="340"/>
      </w:pPr>
      <w:rPr>
        <w:rFonts w:hint="default"/>
        <w:color w:val="E57200" w:themeColor="accent2"/>
      </w:rPr>
    </w:lvl>
    <w:lvl w:ilvl="2">
      <w:numFmt w:val="bullet"/>
      <w:lvlText w:val="–"/>
      <w:lvlJc w:val="left"/>
      <w:pPr>
        <w:tabs>
          <w:tab w:val="num" w:pos="1021"/>
        </w:tabs>
        <w:ind w:left="1021" w:hanging="341"/>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76B407B"/>
    <w:multiLevelType w:val="hybridMultilevel"/>
    <w:tmpl w:val="C802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75CB5"/>
    <w:multiLevelType w:val="multilevel"/>
    <w:tmpl w:val="46B023C6"/>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2"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02E64"/>
    <w:multiLevelType w:val="multilevel"/>
    <w:tmpl w:val="8F58A53C"/>
    <w:lvl w:ilvl="0">
      <w:numFmt w:val="bullet"/>
      <w:lvlText w:val=""/>
      <w:lvlJc w:val="left"/>
      <w:pPr>
        <w:tabs>
          <w:tab w:val="num" w:pos="340"/>
        </w:tabs>
        <w:ind w:left="340" w:hanging="340"/>
      </w:pPr>
      <w:rPr>
        <w:rFonts w:ascii="Symbol" w:hAnsi="Symbo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ﺳ"/>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72277FF8"/>
    <w:multiLevelType w:val="hybridMultilevel"/>
    <w:tmpl w:val="937EF1E6"/>
    <w:lvl w:ilvl="0" w:tplc="0836621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D201C4"/>
    <w:multiLevelType w:val="hybridMultilevel"/>
    <w:tmpl w:val="F4F871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ABC5280"/>
    <w:multiLevelType w:val="multilevel"/>
    <w:tmpl w:val="971EBDAC"/>
    <w:lvl w:ilvl="0">
      <w:start w:val="1"/>
      <w:numFmt w:val="upperLetter"/>
      <w:lvlText w:val="%1"/>
      <w:lvlJc w:val="right"/>
      <w:pPr>
        <w:ind w:left="0" w:hanging="284"/>
      </w:pPr>
      <w:rPr>
        <w:rFonts w:hint="default"/>
      </w:rPr>
    </w:lvl>
    <w:lvl w:ilvl="1">
      <w:start w:val="1"/>
      <w:numFmt w:val="decimal"/>
      <w:lvlText w:val="%1.%2"/>
      <w:lvlJc w:val="right"/>
      <w:pPr>
        <w:ind w:left="0" w:hanging="284"/>
      </w:pPr>
      <w:rPr>
        <w:rFonts w:hint="default"/>
      </w:rPr>
    </w:lvl>
    <w:lvl w:ilvl="2">
      <w:start w:val="1"/>
      <w:numFmt w:val="decimal"/>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num w:numId="1">
    <w:abstractNumId w:val="16"/>
  </w:num>
  <w:num w:numId="2">
    <w:abstractNumId w:val="16"/>
  </w:num>
  <w:num w:numId="3">
    <w:abstractNumId w:val="16"/>
  </w:num>
  <w:num w:numId="4">
    <w:abstractNumId w:val="13"/>
  </w:num>
  <w:num w:numId="5">
    <w:abstractNumId w:val="13"/>
  </w:num>
  <w:num w:numId="6">
    <w:abstractNumId w:val="13"/>
  </w:num>
  <w:num w:numId="7">
    <w:abstractNumId w:val="27"/>
  </w:num>
  <w:num w:numId="8">
    <w:abstractNumId w:val="27"/>
  </w:num>
  <w:num w:numId="9">
    <w:abstractNumId w:val="27"/>
  </w:num>
  <w:num w:numId="10">
    <w:abstractNumId w:val="24"/>
  </w:num>
  <w:num w:numId="11">
    <w:abstractNumId w:val="24"/>
  </w:num>
  <w:num w:numId="12">
    <w:abstractNumId w:val="24"/>
  </w:num>
  <w:num w:numId="13">
    <w:abstractNumId w:val="18"/>
  </w:num>
  <w:num w:numId="14">
    <w:abstractNumId w:val="18"/>
  </w:num>
  <w:num w:numId="15">
    <w:abstractNumId w:val="18"/>
  </w:num>
  <w:num w:numId="16">
    <w:abstractNumId w:val="18"/>
  </w:num>
  <w:num w:numId="17">
    <w:abstractNumId w:val="16"/>
  </w:num>
  <w:num w:numId="18">
    <w:abstractNumId w:val="13"/>
  </w:num>
  <w:num w:numId="19">
    <w:abstractNumId w:val="27"/>
  </w:num>
  <w:num w:numId="20">
    <w:abstractNumId w:val="24"/>
  </w:num>
  <w:num w:numId="21">
    <w:abstractNumId w:val="18"/>
  </w:num>
  <w:num w:numId="22">
    <w:abstractNumId w:val="8"/>
  </w:num>
  <w:num w:numId="23">
    <w:abstractNumId w:val="11"/>
  </w:num>
  <w:num w:numId="24">
    <w:abstractNumId w:val="15"/>
  </w:num>
  <w:num w:numId="25">
    <w:abstractNumId w:val="14"/>
  </w:num>
  <w:num w:numId="26">
    <w:abstractNumId w:val="21"/>
  </w:num>
  <w:num w:numId="27">
    <w:abstractNumId w:val="28"/>
  </w:num>
  <w:num w:numId="28">
    <w:abstractNumId w:val="6"/>
  </w:num>
  <w:num w:numId="29">
    <w:abstractNumId w:val="5"/>
  </w:num>
  <w:num w:numId="30">
    <w:abstractNumId w:val="19"/>
  </w:num>
  <w:num w:numId="31">
    <w:abstractNumId w:val="9"/>
  </w:num>
  <w:num w:numId="32">
    <w:abstractNumId w:val="23"/>
  </w:num>
  <w:num w:numId="33">
    <w:abstractNumId w:val="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
  </w:num>
  <w:num w:numId="42">
    <w:abstractNumId w:val="0"/>
  </w:num>
  <w:num w:numId="43">
    <w:abstractNumId w:val="20"/>
  </w:num>
  <w:num w:numId="44">
    <w:abstractNumId w:val="17"/>
  </w:num>
  <w:num w:numId="45">
    <w:abstractNumId w:val="7"/>
  </w:num>
  <w:num w:numId="46">
    <w:abstractNumId w:val="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yAmITcyMLM1MDAyUdpeDU4uLM/DyQAtNaAKNjjwcsAAAA"/>
  </w:docVars>
  <w:rsids>
    <w:rsidRoot w:val="00E65A4A"/>
    <w:rsid w:val="0000661D"/>
    <w:rsid w:val="00017C74"/>
    <w:rsid w:val="00022C5E"/>
    <w:rsid w:val="00045326"/>
    <w:rsid w:val="000464B7"/>
    <w:rsid w:val="00052AC9"/>
    <w:rsid w:val="00053CD7"/>
    <w:rsid w:val="00092438"/>
    <w:rsid w:val="000A4037"/>
    <w:rsid w:val="000C2943"/>
    <w:rsid w:val="000D5D39"/>
    <w:rsid w:val="000D6FAA"/>
    <w:rsid w:val="000F20B8"/>
    <w:rsid w:val="000F399C"/>
    <w:rsid w:val="0010250E"/>
    <w:rsid w:val="00102FCD"/>
    <w:rsid w:val="0010618E"/>
    <w:rsid w:val="00107128"/>
    <w:rsid w:val="00113E7E"/>
    <w:rsid w:val="00121CDF"/>
    <w:rsid w:val="00141BDA"/>
    <w:rsid w:val="001564AA"/>
    <w:rsid w:val="001713A3"/>
    <w:rsid w:val="00175D87"/>
    <w:rsid w:val="001814EE"/>
    <w:rsid w:val="001826EB"/>
    <w:rsid w:val="00194B59"/>
    <w:rsid w:val="001B0F1D"/>
    <w:rsid w:val="00202C74"/>
    <w:rsid w:val="00222B70"/>
    <w:rsid w:val="0023450E"/>
    <w:rsid w:val="002355ED"/>
    <w:rsid w:val="002439FC"/>
    <w:rsid w:val="00264C82"/>
    <w:rsid w:val="002739B4"/>
    <w:rsid w:val="00286E2A"/>
    <w:rsid w:val="00294153"/>
    <w:rsid w:val="0029460D"/>
    <w:rsid w:val="002947CA"/>
    <w:rsid w:val="002C18B2"/>
    <w:rsid w:val="002D0806"/>
    <w:rsid w:val="002D159D"/>
    <w:rsid w:val="002D60E9"/>
    <w:rsid w:val="002D7D34"/>
    <w:rsid w:val="002E2020"/>
    <w:rsid w:val="003027F6"/>
    <w:rsid w:val="0030781F"/>
    <w:rsid w:val="00327DB6"/>
    <w:rsid w:val="0033020D"/>
    <w:rsid w:val="00341F6C"/>
    <w:rsid w:val="00344E56"/>
    <w:rsid w:val="003934D0"/>
    <w:rsid w:val="00393ECA"/>
    <w:rsid w:val="003978EF"/>
    <w:rsid w:val="003A4A8C"/>
    <w:rsid w:val="003C4B8E"/>
    <w:rsid w:val="003E702C"/>
    <w:rsid w:val="00413E8C"/>
    <w:rsid w:val="00421349"/>
    <w:rsid w:val="004410CA"/>
    <w:rsid w:val="00450480"/>
    <w:rsid w:val="0045530B"/>
    <w:rsid w:val="00473217"/>
    <w:rsid w:val="004D3D29"/>
    <w:rsid w:val="004E75E2"/>
    <w:rsid w:val="0052762E"/>
    <w:rsid w:val="00541DDA"/>
    <w:rsid w:val="00551BEB"/>
    <w:rsid w:val="005B7CEF"/>
    <w:rsid w:val="005D2B70"/>
    <w:rsid w:val="005E54B4"/>
    <w:rsid w:val="005F1BEB"/>
    <w:rsid w:val="005F341D"/>
    <w:rsid w:val="006061D3"/>
    <w:rsid w:val="00606380"/>
    <w:rsid w:val="00612B0B"/>
    <w:rsid w:val="00617DDA"/>
    <w:rsid w:val="00622AEB"/>
    <w:rsid w:val="00622B1A"/>
    <w:rsid w:val="00637C33"/>
    <w:rsid w:val="00645B4F"/>
    <w:rsid w:val="00652FF1"/>
    <w:rsid w:val="00660129"/>
    <w:rsid w:val="00665100"/>
    <w:rsid w:val="0067345D"/>
    <w:rsid w:val="006822AC"/>
    <w:rsid w:val="00682FE1"/>
    <w:rsid w:val="0068492C"/>
    <w:rsid w:val="00693F1F"/>
    <w:rsid w:val="006A0770"/>
    <w:rsid w:val="006B14DE"/>
    <w:rsid w:val="006C162B"/>
    <w:rsid w:val="006D3203"/>
    <w:rsid w:val="006E0CE5"/>
    <w:rsid w:val="006E3B92"/>
    <w:rsid w:val="006F2FC9"/>
    <w:rsid w:val="0070442A"/>
    <w:rsid w:val="00713051"/>
    <w:rsid w:val="0071349E"/>
    <w:rsid w:val="00717532"/>
    <w:rsid w:val="00717540"/>
    <w:rsid w:val="007240BF"/>
    <w:rsid w:val="00737A08"/>
    <w:rsid w:val="00757C7B"/>
    <w:rsid w:val="007759B2"/>
    <w:rsid w:val="00776390"/>
    <w:rsid w:val="007801E0"/>
    <w:rsid w:val="00786D2C"/>
    <w:rsid w:val="007A3E23"/>
    <w:rsid w:val="007A58E9"/>
    <w:rsid w:val="00832871"/>
    <w:rsid w:val="00843227"/>
    <w:rsid w:val="0085483D"/>
    <w:rsid w:val="00865288"/>
    <w:rsid w:val="008730D3"/>
    <w:rsid w:val="00884DD7"/>
    <w:rsid w:val="008A5E55"/>
    <w:rsid w:val="008A7D23"/>
    <w:rsid w:val="008C2D66"/>
    <w:rsid w:val="008C75C0"/>
    <w:rsid w:val="00903411"/>
    <w:rsid w:val="00910DD3"/>
    <w:rsid w:val="00921BE7"/>
    <w:rsid w:val="009230CA"/>
    <w:rsid w:val="0097303C"/>
    <w:rsid w:val="00974452"/>
    <w:rsid w:val="00993787"/>
    <w:rsid w:val="009A3908"/>
    <w:rsid w:val="009B62BB"/>
    <w:rsid w:val="009C3DA3"/>
    <w:rsid w:val="009C592E"/>
    <w:rsid w:val="009D6396"/>
    <w:rsid w:val="009E2930"/>
    <w:rsid w:val="009E6F65"/>
    <w:rsid w:val="009E75B2"/>
    <w:rsid w:val="00A277BA"/>
    <w:rsid w:val="00A34A08"/>
    <w:rsid w:val="00A37A9C"/>
    <w:rsid w:val="00A54D2D"/>
    <w:rsid w:val="00A559D9"/>
    <w:rsid w:val="00A76320"/>
    <w:rsid w:val="00AA1B16"/>
    <w:rsid w:val="00AA27C2"/>
    <w:rsid w:val="00AA651D"/>
    <w:rsid w:val="00AD7133"/>
    <w:rsid w:val="00AE58A7"/>
    <w:rsid w:val="00AF041A"/>
    <w:rsid w:val="00AF40F9"/>
    <w:rsid w:val="00B05069"/>
    <w:rsid w:val="00B054A5"/>
    <w:rsid w:val="00B2458A"/>
    <w:rsid w:val="00B26383"/>
    <w:rsid w:val="00B329CB"/>
    <w:rsid w:val="00B34F4D"/>
    <w:rsid w:val="00B4544D"/>
    <w:rsid w:val="00B67F83"/>
    <w:rsid w:val="00B71638"/>
    <w:rsid w:val="00B76C6D"/>
    <w:rsid w:val="00B831D3"/>
    <w:rsid w:val="00B86582"/>
    <w:rsid w:val="00BA452E"/>
    <w:rsid w:val="00C0328D"/>
    <w:rsid w:val="00C03B96"/>
    <w:rsid w:val="00C155D7"/>
    <w:rsid w:val="00C15E9B"/>
    <w:rsid w:val="00C214E1"/>
    <w:rsid w:val="00C25C2B"/>
    <w:rsid w:val="00C35F61"/>
    <w:rsid w:val="00C43387"/>
    <w:rsid w:val="00C51AEE"/>
    <w:rsid w:val="00C53DA0"/>
    <w:rsid w:val="00C772BF"/>
    <w:rsid w:val="00C96E12"/>
    <w:rsid w:val="00CA5ACF"/>
    <w:rsid w:val="00CC700D"/>
    <w:rsid w:val="00CC73A0"/>
    <w:rsid w:val="00CD57FB"/>
    <w:rsid w:val="00CD7AE1"/>
    <w:rsid w:val="00D2294B"/>
    <w:rsid w:val="00D233D6"/>
    <w:rsid w:val="00D24C62"/>
    <w:rsid w:val="00D36578"/>
    <w:rsid w:val="00D42310"/>
    <w:rsid w:val="00D611E8"/>
    <w:rsid w:val="00D648C2"/>
    <w:rsid w:val="00D67161"/>
    <w:rsid w:val="00D74275"/>
    <w:rsid w:val="00D754E4"/>
    <w:rsid w:val="00DA5A8A"/>
    <w:rsid w:val="00E101A3"/>
    <w:rsid w:val="00E2374A"/>
    <w:rsid w:val="00E453D7"/>
    <w:rsid w:val="00E5296A"/>
    <w:rsid w:val="00E54A42"/>
    <w:rsid w:val="00E65A4A"/>
    <w:rsid w:val="00E7697D"/>
    <w:rsid w:val="00E8667E"/>
    <w:rsid w:val="00EA7192"/>
    <w:rsid w:val="00EB04DB"/>
    <w:rsid w:val="00EB4A9D"/>
    <w:rsid w:val="00EC33E8"/>
    <w:rsid w:val="00ED213A"/>
    <w:rsid w:val="00ED55DB"/>
    <w:rsid w:val="00EE7451"/>
    <w:rsid w:val="00F009A8"/>
    <w:rsid w:val="00F154B1"/>
    <w:rsid w:val="00F25005"/>
    <w:rsid w:val="00F265D6"/>
    <w:rsid w:val="00F304A4"/>
    <w:rsid w:val="00F37866"/>
    <w:rsid w:val="00F505D9"/>
    <w:rsid w:val="00F52D00"/>
    <w:rsid w:val="00F55C1D"/>
    <w:rsid w:val="00F7670E"/>
    <w:rsid w:val="00F929D4"/>
    <w:rsid w:val="00FB3306"/>
    <w:rsid w:val="00FB5E5B"/>
    <w:rsid w:val="00FC4B2C"/>
    <w:rsid w:val="00FE182B"/>
    <w:rsid w:val="00FE4B7A"/>
    <w:rsid w:val="00FE61CE"/>
    <w:rsid w:val="00FE73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08F15A"/>
  <w15:docId w15:val="{D0AF632D-5741-4470-A170-BA768A09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9C3DA3"/>
    <w:pPr>
      <w:spacing w:before="0" w:after="160" w:line="256" w:lineRule="auto"/>
    </w:pPr>
    <w:rPr>
      <w:rFonts w:ascii="Calibri" w:eastAsia="Calibri" w:hAnsi="Calibri" w:cs="Arial"/>
      <w:color w:val="auto"/>
      <w:sz w:val="22"/>
      <w:szCs w:val="22"/>
      <w:lang w:eastAsia="en-US" w:bidi="he-IL"/>
    </w:rPr>
  </w:style>
  <w:style w:type="paragraph" w:styleId="Heading1">
    <w:name w:val="heading 1"/>
    <w:aliases w:val="~Heading 1"/>
    <w:basedOn w:val="SecHeadNonToc"/>
    <w:next w:val="Normal"/>
    <w:link w:val="Heading1Char"/>
    <w:uiPriority w:val="2"/>
    <w:qFormat/>
    <w:rsid w:val="00CC700D"/>
    <w:pPr>
      <w:pageBreakBefore w:val="0"/>
      <w:numPr>
        <w:numId w:val="21"/>
      </w:numPr>
      <w:spacing w:before="240"/>
      <w:outlineLvl w:val="0"/>
    </w:pPr>
    <w:rPr>
      <w:b/>
    </w:rPr>
  </w:style>
  <w:style w:type="paragraph" w:styleId="Heading2">
    <w:name w:val="heading 2"/>
    <w:aliases w:val="~Heading 2"/>
    <w:basedOn w:val="ExecSumSubHead"/>
    <w:next w:val="Normal"/>
    <w:link w:val="Heading2Char"/>
    <w:uiPriority w:val="2"/>
    <w:qFormat/>
    <w:rsid w:val="00AA651D"/>
    <w:pPr>
      <w:numPr>
        <w:ilvl w:val="1"/>
        <w:numId w:val="21"/>
      </w:numPr>
      <w:outlineLvl w:val="1"/>
    </w:pPr>
  </w:style>
  <w:style w:type="paragraph" w:styleId="Heading3">
    <w:name w:val="heading 3"/>
    <w:aliases w:val="~Heading 3"/>
    <w:basedOn w:val="ExecSumSubHead"/>
    <w:next w:val="Normal"/>
    <w:link w:val="Heading3Char"/>
    <w:uiPriority w:val="2"/>
    <w:qFormat/>
    <w:rsid w:val="007240BF"/>
    <w:pPr>
      <w:numPr>
        <w:ilvl w:val="2"/>
        <w:numId w:val="21"/>
      </w:numPr>
      <w:spacing w:after="0"/>
      <w:outlineLvl w:val="2"/>
    </w:pPr>
    <w:rPr>
      <w:b w:val="0"/>
      <w:color w:val="653279" w:themeColor="accent1"/>
      <w:sz w:val="28"/>
    </w:rPr>
  </w:style>
  <w:style w:type="paragraph" w:styleId="Heading4">
    <w:name w:val="heading 4"/>
    <w:aliases w:val="~Level4Heading"/>
    <w:basedOn w:val="ExecSumSubHead"/>
    <w:next w:val="Normal"/>
    <w:link w:val="Heading4Char"/>
    <w:uiPriority w:val="5"/>
    <w:qFormat/>
    <w:rsid w:val="007240BF"/>
    <w:pPr>
      <w:spacing w:after="0"/>
      <w:outlineLvl w:val="3"/>
    </w:pPr>
    <w:rPr>
      <w:color w:val="000000" w:themeColor="text1"/>
      <w:sz w:val="26"/>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before="240" w:after="0" w:line="240" w:lineRule="auto"/>
      <w:outlineLvl w:val="7"/>
    </w:pPr>
    <w:rPr>
      <w:rFonts w:asciiTheme="majorHAnsi" w:eastAsiaTheme="majorEastAsia" w:hAnsiTheme="majorHAnsi" w:cstheme="majorBidi"/>
      <w:color w:val="000000" w:themeColor="text1"/>
      <w:sz w:val="24"/>
      <w:szCs w:val="24"/>
      <w:lang w:eastAsia="zh-CN" w:bidi="ar-SA"/>
    </w:rPr>
  </w:style>
  <w:style w:type="paragraph" w:styleId="Heading9">
    <w:name w:val="heading 9"/>
    <w:basedOn w:val="Normal"/>
    <w:next w:val="Normal"/>
    <w:link w:val="Heading9Char"/>
    <w:uiPriority w:val="5"/>
    <w:semiHidden/>
    <w:rsid w:val="00CA5ACF"/>
    <w:pPr>
      <w:keepNext/>
      <w:keepLines/>
      <w:spacing w:before="240" w:after="0" w:line="240" w:lineRule="auto"/>
      <w:outlineLvl w:val="8"/>
    </w:pPr>
    <w:rPr>
      <w:rFonts w:asciiTheme="majorHAnsi" w:eastAsiaTheme="majorEastAsia" w:hAnsiTheme="majorHAnsi" w:cstheme="majorBidi"/>
      <w:i/>
      <w:iCs/>
      <w:color w:val="000000" w:themeColor="text1"/>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7240BF"/>
    <w:pPr>
      <w:spacing w:before="240"/>
    </w:pPr>
    <w:rPr>
      <w:color w:val="E57200" w:themeColor="accent2"/>
      <w:sz w:val="32"/>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AA651D"/>
    <w:rPr>
      <w:rFonts w:asciiTheme="majorHAnsi" w:eastAsiaTheme="minorHAnsi" w:hAnsiTheme="majorHAnsi" w:cs="Arial"/>
      <w:b/>
      <w:color w:val="E57200" w:themeColor="accent2"/>
      <w:sz w:val="32"/>
      <w:lang w:eastAsia="en-US"/>
    </w:rPr>
  </w:style>
  <w:style w:type="character" w:customStyle="1" w:styleId="Heading3Char">
    <w:name w:val="Heading 3 Char"/>
    <w:aliases w:val="~Heading 3 Char"/>
    <w:basedOn w:val="DefaultParagraphFont"/>
    <w:link w:val="Heading3"/>
    <w:uiPriority w:val="2"/>
    <w:rsid w:val="007240BF"/>
    <w:rPr>
      <w:rFonts w:asciiTheme="majorHAnsi" w:eastAsiaTheme="minorHAnsi" w:hAnsiTheme="majorHAnsi" w:cs="Arial"/>
      <w:color w:val="653279" w:themeColor="accent1"/>
      <w:sz w:val="28"/>
      <w:lang w:eastAsia="en-US"/>
    </w:rPr>
  </w:style>
  <w:style w:type="character" w:customStyle="1" w:styleId="Heading4Char">
    <w:name w:val="Heading 4 Char"/>
    <w:aliases w:val="~Level4Heading Char"/>
    <w:basedOn w:val="DefaultParagraphFont"/>
    <w:link w:val="Heading4"/>
    <w:uiPriority w:val="5"/>
    <w:rsid w:val="00F52D00"/>
    <w:rPr>
      <w:rFonts w:asciiTheme="majorHAnsi" w:eastAsiaTheme="minorHAnsi" w:hAnsiTheme="majorHAnsi" w:cs="Arial"/>
      <w:b/>
      <w:sz w:val="26"/>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7"/>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7"/>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7"/>
      </w:numPr>
      <w:outlineLvl w:val="1"/>
    </w:pPr>
    <w:rPr>
      <w:color w:val="888B8D" w:themeColor="text2"/>
      <w:sz w:val="28"/>
    </w:rPr>
  </w:style>
  <w:style w:type="paragraph" w:customStyle="1" w:styleId="BodyHeading">
    <w:name w:val="~BodyHeading"/>
    <w:basedOn w:val="Normal"/>
    <w:next w:val="Normal"/>
    <w:uiPriority w:val="2"/>
    <w:qFormat/>
    <w:rsid w:val="007240BF"/>
    <w:pPr>
      <w:keepNext/>
      <w:spacing w:before="240" w:after="120" w:line="240" w:lineRule="auto"/>
    </w:pPr>
    <w:rPr>
      <w:rFonts w:asciiTheme="minorHAnsi" w:eastAsiaTheme="minorEastAsia" w:hAnsiTheme="minorHAnsi" w:cstheme="minorBidi"/>
      <w:b/>
      <w:color w:val="000000" w:themeColor="text1"/>
      <w:sz w:val="24"/>
      <w:szCs w:val="24"/>
      <w:lang w:eastAsia="zh-CN" w:bidi="ar-SA"/>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18"/>
      </w:numPr>
      <w:spacing w:before="60" w:after="60" w:line="360" w:lineRule="auto"/>
    </w:pPr>
    <w:rPr>
      <w:rFonts w:asciiTheme="minorHAnsi" w:hAnsiTheme="minorHAnsi" w:cstheme="minorBidi"/>
      <w:color w:val="000000" w:themeColor="text1"/>
      <w:sz w:val="24"/>
      <w:szCs w:val="24"/>
      <w:lang w:eastAsia="zh-CN" w:bidi="ar-SA"/>
    </w:rPr>
  </w:style>
  <w:style w:type="paragraph" w:customStyle="1" w:styleId="Bullet2">
    <w:name w:val="~Bullet2"/>
    <w:basedOn w:val="Normal"/>
    <w:rsid w:val="00CA5ACF"/>
    <w:pPr>
      <w:numPr>
        <w:ilvl w:val="1"/>
        <w:numId w:val="18"/>
      </w:numPr>
      <w:spacing w:before="60" w:after="60"/>
    </w:pPr>
  </w:style>
  <w:style w:type="paragraph" w:customStyle="1" w:styleId="Bullet3">
    <w:name w:val="~Bullet3"/>
    <w:basedOn w:val="Normal"/>
    <w:rsid w:val="00CA5ACF"/>
    <w:pPr>
      <w:numPr>
        <w:ilvl w:val="2"/>
        <w:numId w:val="18"/>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semiHidden/>
    <w:qFormat/>
    <w:rsid w:val="00F52D00"/>
    <w:pPr>
      <w:spacing w:before="240" w:after="0" w:line="360" w:lineRule="auto"/>
    </w:pPr>
    <w:rPr>
      <w:rFonts w:asciiTheme="minorHAnsi" w:eastAsiaTheme="minorEastAsia" w:hAnsiTheme="minorHAnsi" w:cstheme="minorBidi"/>
      <w:color w:val="000000" w:themeColor="text1"/>
      <w:sz w:val="26"/>
      <w:szCs w:val="24"/>
      <w:lang w:eastAsia="zh-CN" w:bidi="ar-SA"/>
    </w:rPr>
  </w:style>
  <w:style w:type="paragraph" w:customStyle="1" w:styleId="KeyMsgBoxHead">
    <w:name w:val="~KeyMsgBoxHead"/>
    <w:basedOn w:val="KeyMsgBoxText"/>
    <w:uiPriority w:val="32"/>
    <w:semiHidden/>
    <w:qFormat/>
    <w:rsid w:val="00CA5ACF"/>
    <w:pPr>
      <w:keepNext/>
      <w:spacing w:before="60" w:line="240" w:lineRule="auto"/>
    </w:pPr>
    <w:rPr>
      <w:b/>
    </w:rPr>
  </w:style>
  <w:style w:type="paragraph" w:customStyle="1" w:styleId="NumBullet1">
    <w:name w:val="~NumBullet1"/>
    <w:basedOn w:val="Normal"/>
    <w:qFormat/>
    <w:rsid w:val="00CA5ACF"/>
    <w:pPr>
      <w:numPr>
        <w:numId w:val="19"/>
      </w:numPr>
      <w:spacing w:before="60" w:after="60" w:line="360" w:lineRule="auto"/>
    </w:pPr>
    <w:rPr>
      <w:rFonts w:asciiTheme="minorHAnsi" w:eastAsiaTheme="minorEastAsia" w:hAnsiTheme="minorHAnsi" w:cstheme="minorBidi"/>
      <w:color w:val="000000" w:themeColor="text1"/>
      <w:sz w:val="24"/>
      <w:szCs w:val="24"/>
      <w:lang w:eastAsia="zh-CN" w:bidi="ar-SA"/>
    </w:rPr>
  </w:style>
  <w:style w:type="paragraph" w:customStyle="1" w:styleId="NumBullet2">
    <w:name w:val="~NumBullet2"/>
    <w:basedOn w:val="Normal"/>
    <w:rsid w:val="00CA5ACF"/>
    <w:pPr>
      <w:numPr>
        <w:ilvl w:val="1"/>
        <w:numId w:val="19"/>
      </w:numPr>
      <w:spacing w:before="60" w:after="60"/>
    </w:pPr>
  </w:style>
  <w:style w:type="paragraph" w:customStyle="1" w:styleId="NumBullet3">
    <w:name w:val="~NumBullet3"/>
    <w:basedOn w:val="Normal"/>
    <w:rsid w:val="00CA5ACF"/>
    <w:pPr>
      <w:numPr>
        <w:ilvl w:val="2"/>
        <w:numId w:val="19"/>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rPr>
      <w:rFonts w:asciiTheme="minorHAnsi" w:eastAsiaTheme="minorEastAsia" w:hAnsiTheme="minorHAnsi" w:cstheme="minorBidi"/>
      <w:color w:val="000000" w:themeColor="text1"/>
      <w:sz w:val="24"/>
      <w:szCs w:val="24"/>
      <w:lang w:eastAsia="zh-CN" w:bidi="ar-SA"/>
    </w:rPr>
  </w:style>
  <w:style w:type="paragraph" w:customStyle="1" w:styleId="TableBullet1">
    <w:name w:val="~TableBullet1"/>
    <w:basedOn w:val="TableTextLeft"/>
    <w:uiPriority w:val="31"/>
    <w:rsid w:val="00CA5ACF"/>
    <w:pPr>
      <w:numPr>
        <w:numId w:val="20"/>
      </w:numPr>
    </w:pPr>
    <w:rPr>
      <w:rFonts w:eastAsia="Calibri"/>
    </w:rPr>
  </w:style>
  <w:style w:type="paragraph" w:customStyle="1" w:styleId="TableBullet2">
    <w:name w:val="~TableBullet2"/>
    <w:basedOn w:val="TableTextLeft"/>
    <w:uiPriority w:val="31"/>
    <w:rsid w:val="00CA5ACF"/>
    <w:pPr>
      <w:numPr>
        <w:ilvl w:val="1"/>
        <w:numId w:val="20"/>
      </w:numPr>
    </w:pPr>
  </w:style>
  <w:style w:type="paragraph" w:customStyle="1" w:styleId="TableBullet3">
    <w:name w:val="~TableBullet3"/>
    <w:basedOn w:val="TableTextLeft"/>
    <w:uiPriority w:val="31"/>
    <w:rsid w:val="00CA5ACF"/>
    <w:pPr>
      <w:numPr>
        <w:ilvl w:val="2"/>
        <w:numId w:val="20"/>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before="240" w:after="0" w:line="240" w:lineRule="auto"/>
    </w:pPr>
    <w:rPr>
      <w:rFonts w:ascii="Tahoma" w:eastAsiaTheme="minorEastAsia" w:hAnsi="Tahoma" w:cs="Tahoma"/>
      <w:color w:val="808080" w:themeColor="background1" w:themeShade="80"/>
      <w:sz w:val="16"/>
      <w:szCs w:val="16"/>
      <w:lang w:eastAsia="zh-CN" w:bidi="ar-SA"/>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after="0" w:line="240" w:lineRule="auto"/>
    </w:pPr>
    <w:rPr>
      <w:rFonts w:ascii="Arial" w:eastAsiaTheme="minorEastAsia" w:hAnsi="Arial" w:cstheme="minorBidi"/>
      <w:sz w:val="24"/>
      <w:szCs w:val="24"/>
      <w:lang w:eastAsia="zh-CN" w:bidi="ar-SA"/>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semiHidden/>
    <w:rsid w:val="00C96E12"/>
    <w:rPr>
      <w:sz w:val="20"/>
    </w:rPr>
  </w:style>
  <w:style w:type="character" w:customStyle="1" w:styleId="HeaderChar">
    <w:name w:val="Header Char"/>
    <w:aliases w:val="~Header Char"/>
    <w:basedOn w:val="DefaultParagraphFont"/>
    <w:link w:val="Header"/>
    <w:semiHidden/>
    <w:rsid w:val="007759B2"/>
    <w:rPr>
      <w:rFonts w:eastAsiaTheme="minorHAnsi" w:cs="Arial"/>
      <w:sz w:val="20"/>
      <w:lang w:eastAsia="en-US"/>
    </w:rPr>
  </w:style>
  <w:style w:type="character" w:styleId="Hyperlink">
    <w:name w:val="Hyperlink"/>
    <w:aliases w:val="~Hyperlink"/>
    <w:basedOn w:val="DefaultParagraphFont"/>
    <w:uiPriority w:val="99"/>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line="360" w:lineRule="auto"/>
      <w:ind w:left="1600"/>
    </w:pPr>
    <w:rPr>
      <w:rFonts w:ascii="Arial" w:eastAsiaTheme="minorEastAsia" w:hAnsi="Arial" w:cstheme="minorBidi"/>
      <w:color w:val="000000" w:themeColor="text1"/>
      <w:sz w:val="24"/>
      <w:szCs w:val="24"/>
      <w:lang w:eastAsia="zh-CN" w:bidi="ar-SA"/>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semiHidden/>
    <w:rsid w:val="00D754E4"/>
    <w:pPr>
      <w:keepNext/>
      <w:numPr>
        <w:numId w:val="36"/>
      </w:numPr>
      <w:spacing w:before="120" w:after="120" w:line="240" w:lineRule="auto"/>
      <w:ind w:left="431" w:hanging="431"/>
      <w:contextualSpacing/>
      <w:jc w:val="both"/>
    </w:pPr>
    <w:rPr>
      <w:rFonts w:eastAsiaTheme="minorHAnsi"/>
    </w:rPr>
  </w:style>
  <w:style w:type="paragraph" w:customStyle="1" w:styleId="KeyMsg1">
    <w:name w:val="~KeyMsg1"/>
    <w:basedOn w:val="KeyMsgBoxText"/>
    <w:next w:val="Normal"/>
    <w:uiPriority w:val="32"/>
    <w:qFormat/>
    <w:rsid w:val="00F52D00"/>
    <w:rPr>
      <w:color w:val="653279" w:themeColor="accent1"/>
    </w:rPr>
  </w:style>
  <w:style w:type="paragraph" w:customStyle="1" w:styleId="KeyMsg2">
    <w:name w:val="~KeyMsg2"/>
    <w:basedOn w:val="KeyMsg1"/>
    <w:next w:val="Normal"/>
    <w:uiPriority w:val="32"/>
    <w:qFormat/>
    <w:rsid w:val="00F52D00"/>
    <w:rPr>
      <w:color w:val="E57200" w:themeColor="accent2"/>
    </w:rPr>
  </w:style>
  <w:style w:type="paragraph" w:styleId="Title">
    <w:name w:val="Title"/>
    <w:basedOn w:val="Normal"/>
    <w:next w:val="Normal"/>
    <w:link w:val="TitleChar"/>
    <w:uiPriority w:val="10"/>
    <w:qFormat/>
    <w:rsid w:val="009C3DA3"/>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9C3DA3"/>
    <w:rPr>
      <w:rFonts w:ascii="Calibri Light" w:eastAsia="Times New Roman" w:hAnsi="Calibri Light" w:cs="Times New Roman"/>
      <w:color w:val="auto"/>
      <w:spacing w:val="-10"/>
      <w:kern w:val="28"/>
      <w:sz w:val="56"/>
      <w:szCs w:val="56"/>
      <w:lang w:eastAsia="en-US" w:bidi="he-IL"/>
    </w:rPr>
  </w:style>
  <w:style w:type="paragraph" w:styleId="ListParagraph">
    <w:name w:val="List Paragraph"/>
    <w:basedOn w:val="Normal"/>
    <w:uiPriority w:val="34"/>
    <w:qFormat/>
    <w:rsid w:val="00202C74"/>
    <w:pPr>
      <w:spacing w:after="200" w:line="276" w:lineRule="auto"/>
      <w:ind w:left="720"/>
      <w:contextualSpacing/>
    </w:pPr>
    <w:rPr>
      <w:rFonts w:asciiTheme="minorHAnsi" w:eastAsiaTheme="minorHAnsi" w:hAnsiTheme="minorHAnsi" w:cstheme="minorBidi"/>
      <w:lang w:bidi="ar-SA"/>
    </w:rPr>
  </w:style>
  <w:style w:type="paragraph" w:customStyle="1" w:styleId="Default">
    <w:name w:val="Default"/>
    <w:rsid w:val="00053CD7"/>
    <w:pPr>
      <w:autoSpaceDE w:val="0"/>
      <w:autoSpaceDN w:val="0"/>
      <w:adjustRightInd w:val="0"/>
      <w:spacing w:before="0" w:line="240" w:lineRule="auto"/>
    </w:pPr>
    <w:rPr>
      <w:rFonts w:ascii="Arial" w:eastAsiaTheme="minorHAnsi" w:hAnsi="Arial" w:cs="Arial"/>
      <w:color w:val="000000"/>
      <w:lang w:eastAsia="en-US"/>
    </w:rPr>
  </w:style>
  <w:style w:type="paragraph" w:styleId="NormalWeb">
    <w:name w:val="Normal (Web)"/>
    <w:basedOn w:val="Normal"/>
    <w:uiPriority w:val="99"/>
    <w:semiHidden/>
    <w:unhideWhenUsed/>
    <w:rsid w:val="002D0806"/>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7033">
      <w:bodyDiv w:val="1"/>
      <w:marLeft w:val="0"/>
      <w:marRight w:val="0"/>
      <w:marTop w:val="0"/>
      <w:marBottom w:val="0"/>
      <w:divBdr>
        <w:top w:val="none" w:sz="0" w:space="0" w:color="auto"/>
        <w:left w:val="none" w:sz="0" w:space="0" w:color="auto"/>
        <w:bottom w:val="none" w:sz="0" w:space="0" w:color="auto"/>
        <w:right w:val="none" w:sz="0" w:space="0" w:color="auto"/>
      </w:divBdr>
    </w:div>
    <w:div w:id="568882664">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28781624">
      <w:bodyDiv w:val="1"/>
      <w:marLeft w:val="0"/>
      <w:marRight w:val="0"/>
      <w:marTop w:val="0"/>
      <w:marBottom w:val="0"/>
      <w:divBdr>
        <w:top w:val="none" w:sz="0" w:space="0" w:color="auto"/>
        <w:left w:val="none" w:sz="0" w:space="0" w:color="auto"/>
        <w:bottom w:val="none" w:sz="0" w:space="0" w:color="auto"/>
        <w:right w:val="none" w:sz="0" w:space="0" w:color="auto"/>
      </w:divBdr>
    </w:div>
    <w:div w:id="1415669516">
      <w:bodyDiv w:val="1"/>
      <w:marLeft w:val="0"/>
      <w:marRight w:val="0"/>
      <w:marTop w:val="0"/>
      <w:marBottom w:val="0"/>
      <w:divBdr>
        <w:top w:val="none" w:sz="0" w:space="0" w:color="auto"/>
        <w:left w:val="none" w:sz="0" w:space="0" w:color="auto"/>
        <w:bottom w:val="none" w:sz="0" w:space="0" w:color="auto"/>
        <w:right w:val="none" w:sz="0" w:space="0" w:color="auto"/>
      </w:divBdr>
    </w:div>
    <w:div w:id="1435175599">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arton\RNIB%20College%20Loughborough\College%20Referrals%20and%20Admissions%20Team%20-%20Documents\Marketing%20Admin\Sense%20Templates\Sense_Generic_Word_Template_2021_with_instructions.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538bfa-6495-4b5f-8330-c5a24fc04c41">
      <Terms xmlns="http://schemas.microsoft.com/office/infopath/2007/PartnerControls"/>
    </lcf76f155ced4ddcb4097134ff3c332f>
    <TaxCatchAll xmlns="b31be47e-3ef0-4f84-ac03-9b6bb67a0aa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E3805A032904AB00BE3D924807164" ma:contentTypeVersion="17" ma:contentTypeDescription="Create a new document." ma:contentTypeScope="" ma:versionID="227555ebf0bcafc632d2fbf88128c65d">
  <xsd:schema xmlns:xsd="http://www.w3.org/2001/XMLSchema" xmlns:xs="http://www.w3.org/2001/XMLSchema" xmlns:p="http://schemas.microsoft.com/office/2006/metadata/properties" xmlns:ns2="33538bfa-6495-4b5f-8330-c5a24fc04c41" xmlns:ns3="b31be47e-3ef0-4f84-ac03-9b6bb67a0aaa" targetNamespace="http://schemas.microsoft.com/office/2006/metadata/properties" ma:root="true" ma:fieldsID="f135ecce33f795a7935a504b99935689" ns2:_="" ns3:_="">
    <xsd:import namespace="33538bfa-6495-4b5f-8330-c5a24fc04c41"/>
    <xsd:import namespace="b31be47e-3ef0-4f84-ac03-9b6bb67a0a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38bfa-6495-4b5f-8330-c5a24fc04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b61309-7557-4c69-8667-156053ff81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be47e-3ef0-4f84-ac03-9b6bb67a0a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692195-0060-462e-997e-39651843fabd}" ma:internalName="TaxCatchAll" ma:showField="CatchAllData" ma:web="b31be47e-3ef0-4f84-ac03-9b6bb67a0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D376-FE44-4637-8DD3-6C78D586C002}">
  <ds:schemaRefs>
    <ds:schemaRef ds:uri="http://schemas.microsoft.com/sharepoint/v3/contenttype/forms"/>
  </ds:schemaRefs>
</ds:datastoreItem>
</file>

<file path=customXml/itemProps2.xml><?xml version="1.0" encoding="utf-8"?>
<ds:datastoreItem xmlns:ds="http://schemas.openxmlformats.org/officeDocument/2006/customXml" ds:itemID="{C71160A6-9F87-49E1-B511-60F4D3EC2138}">
  <ds:schemaRefs>
    <ds:schemaRef ds:uri="http://purl.org/dc/terms/"/>
    <ds:schemaRef ds:uri="http://purl.org/dc/dcmitype/"/>
    <ds:schemaRef ds:uri="http://schemas.microsoft.com/office/infopath/2007/PartnerControls"/>
    <ds:schemaRef ds:uri="33538bfa-6495-4b5f-8330-c5a24fc04c41"/>
    <ds:schemaRef ds:uri="http://purl.org/dc/elements/1.1/"/>
    <ds:schemaRef ds:uri="http://schemas.microsoft.com/office/2006/documentManagement/types"/>
    <ds:schemaRef ds:uri="b31be47e-3ef0-4f84-ac03-9b6bb67a0aaa"/>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E56461-4850-4390-9AE2-F173FB5E6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38bfa-6495-4b5f-8330-c5a24fc04c41"/>
    <ds:schemaRef ds:uri="b31be47e-3ef0-4f84-ac03-9b6bb67a0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6BF37-2A6A-4DFF-8621-BC393462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Sense_Generic_Word_Template_2021_with_instructions</Template>
  <TotalTime>1</TotalTime>
  <Pages>11</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Hannah Wharton</dc:creator>
  <cp:keywords/>
  <dc:description/>
  <cp:lastModifiedBy>Hannah Wharton</cp:lastModifiedBy>
  <cp:revision>3</cp:revision>
  <cp:lastPrinted>2023-07-31T17:02:00Z</cp:lastPrinted>
  <dcterms:created xsi:type="dcterms:W3CDTF">2023-08-29T14:13:00Z</dcterms:created>
  <dcterms:modified xsi:type="dcterms:W3CDTF">2023-10-03T08:27:00Z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16 Janaury 2018</vt:lpwstr>
  </property>
  <property fmtid="{D5CDD505-2E9C-101B-9397-08002B2CF9AE}" pid="4" name="ContentTypeId">
    <vt:lpwstr>0x0101006DEE3805A032904AB00BE3D924807164</vt:lpwstr>
  </property>
  <property fmtid="{D5CDD505-2E9C-101B-9397-08002B2CF9AE}" pid="5" name="MediaServiceImageTags">
    <vt:lpwstr/>
  </property>
</Properties>
</file>